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C72" w:rsidRPr="002A54B7" w:rsidRDefault="00E529CA" w:rsidP="00BE2C72">
      <w:pPr>
        <w:jc w:val="center"/>
        <w:rPr>
          <w:sz w:val="28"/>
          <w:szCs w:val="28"/>
        </w:rPr>
      </w:pPr>
      <w:r>
        <w:rPr>
          <w:b/>
          <w:sz w:val="28"/>
          <w:szCs w:val="28"/>
        </w:rPr>
        <w:t>2019</w:t>
      </w:r>
      <w:r w:rsidR="00BE2C72" w:rsidRPr="002A54B7">
        <w:rPr>
          <w:b/>
          <w:sz w:val="28"/>
          <w:szCs w:val="28"/>
        </w:rPr>
        <w:t xml:space="preserve"> M. UTENOS TURIZMO INFORMACIJOS CENTRO </w:t>
      </w:r>
      <w:r>
        <w:rPr>
          <w:b/>
          <w:sz w:val="28"/>
          <w:szCs w:val="28"/>
        </w:rPr>
        <w:t xml:space="preserve">RENKAMOS </w:t>
      </w:r>
      <w:r w:rsidR="00BE2C72" w:rsidRPr="002A54B7">
        <w:rPr>
          <w:b/>
          <w:sz w:val="28"/>
          <w:szCs w:val="28"/>
        </w:rPr>
        <w:t>LANKYTOJŲ STATISTIKOS ATASKAITA</w:t>
      </w:r>
    </w:p>
    <w:p w:rsidR="00BE2C72" w:rsidRPr="002A54B7" w:rsidRDefault="00BE2C72" w:rsidP="00BE2C72">
      <w:pPr>
        <w:ind w:firstLine="1298"/>
        <w:jc w:val="both"/>
      </w:pPr>
    </w:p>
    <w:p w:rsidR="00E529CA" w:rsidRDefault="00BE2C72" w:rsidP="00BE2C72">
      <w:pPr>
        <w:ind w:firstLine="1298"/>
        <w:jc w:val="both"/>
      </w:pPr>
      <w:proofErr w:type="spellStart"/>
      <w:r w:rsidRPr="002A54B7">
        <w:t>VšĮ</w:t>
      </w:r>
      <w:proofErr w:type="spellEnd"/>
      <w:r w:rsidRPr="002A54B7">
        <w:t xml:space="preserve"> Utenos turizmo informacijos centro</w:t>
      </w:r>
      <w:r w:rsidR="00E529CA">
        <w:t xml:space="preserve"> (toliau Utenos TIC)</w:t>
      </w:r>
      <w:r w:rsidRPr="002A54B7">
        <w:t xml:space="preserve"> vienas iš uždavinių yra </w:t>
      </w:r>
      <w:r w:rsidR="00E529CA">
        <w:t>rinkti</w:t>
      </w:r>
      <w:r w:rsidRPr="002A54B7">
        <w:t xml:space="preserve"> lankytojų statistiką, ją apibendrinti ir išanalizuoti. 201</w:t>
      </w:r>
      <w:r>
        <w:t>9</w:t>
      </w:r>
      <w:r w:rsidRPr="002A54B7">
        <w:t xml:space="preserve"> m. Utenos turizmo informacijos centras skaičiavo Utenos </w:t>
      </w:r>
      <w:r w:rsidR="00E529CA">
        <w:t>TIC</w:t>
      </w:r>
      <w:r w:rsidR="0056137A">
        <w:t xml:space="preserve"> skyrių adresu </w:t>
      </w:r>
      <w:r w:rsidRPr="002A54B7">
        <w:t>Stoties g. 39, Utena</w:t>
      </w:r>
      <w:r w:rsidR="000814BA">
        <w:t xml:space="preserve"> (toliau </w:t>
      </w:r>
      <w:r w:rsidR="00CE5569">
        <w:t>Stoties g.</w:t>
      </w:r>
      <w:r w:rsidR="000814BA">
        <w:t xml:space="preserve"> skyrius)</w:t>
      </w:r>
      <w:r w:rsidRPr="002A54B7">
        <w:t xml:space="preserve"> ir </w:t>
      </w:r>
      <w:r w:rsidR="0056137A">
        <w:t xml:space="preserve">adresu </w:t>
      </w:r>
      <w:r w:rsidRPr="002A54B7">
        <w:t>Aušros g. 47, Utena (Kūrybinių industrijų centre „</w:t>
      </w:r>
      <w:proofErr w:type="spellStart"/>
      <w:r w:rsidRPr="002A54B7">
        <w:t>Taurapilis</w:t>
      </w:r>
      <w:proofErr w:type="spellEnd"/>
      <w:r w:rsidRPr="002A54B7">
        <w:t>“</w:t>
      </w:r>
      <w:r w:rsidR="000814BA">
        <w:t xml:space="preserve">, toliau </w:t>
      </w:r>
      <w:proofErr w:type="spellStart"/>
      <w:r w:rsidR="000814BA">
        <w:t>Taurapilio</w:t>
      </w:r>
      <w:proofErr w:type="spellEnd"/>
      <w:r w:rsidR="000814BA">
        <w:t xml:space="preserve"> skyrius</w:t>
      </w:r>
      <w:r w:rsidRPr="002A54B7">
        <w:t>) lankytojus</w:t>
      </w:r>
      <w:r w:rsidR="00E529CA">
        <w:t>, naudojant „</w:t>
      </w:r>
      <w:proofErr w:type="spellStart"/>
      <w:r w:rsidR="00E529CA">
        <w:t>Google</w:t>
      </w:r>
      <w:proofErr w:type="spellEnd"/>
      <w:r w:rsidR="00E529CA">
        <w:t xml:space="preserve"> </w:t>
      </w:r>
      <w:proofErr w:type="spellStart"/>
      <w:r w:rsidR="00E529CA">
        <w:t>Analitics</w:t>
      </w:r>
      <w:proofErr w:type="spellEnd"/>
      <w:r w:rsidR="00E529CA">
        <w:t xml:space="preserve">“ sistemą tikrino prisijungimus prie Utenos TIC svetainės </w:t>
      </w:r>
      <w:hyperlink r:id="rId6" w:history="1">
        <w:r w:rsidR="00E529CA" w:rsidRPr="00E529CA">
          <w:rPr>
            <w:rStyle w:val="Hipersaitas"/>
            <w:color w:val="auto"/>
            <w:u w:val="none"/>
          </w:rPr>
          <w:t>www.utenainfo.lt</w:t>
        </w:r>
      </w:hyperlink>
      <w:r w:rsidR="00E529CA">
        <w:t>, bei, bendradarbiaudamas su turizmo paslaugų teikėjais, rinko informaciją apie apsilankiusiųjų skaičių lankytinose Utenos</w:t>
      </w:r>
      <w:r w:rsidR="0056137A">
        <w:t xml:space="preserve"> miesto ir </w:t>
      </w:r>
      <w:r w:rsidR="00E529CA">
        <w:t xml:space="preserve"> rajono vietose. </w:t>
      </w:r>
    </w:p>
    <w:p w:rsidR="00E529CA" w:rsidRDefault="00E529CA" w:rsidP="00E529CA">
      <w:pPr>
        <w:jc w:val="both"/>
      </w:pPr>
    </w:p>
    <w:p w:rsidR="00E529CA" w:rsidRPr="00E529CA" w:rsidRDefault="00E529CA" w:rsidP="00E529CA">
      <w:pPr>
        <w:jc w:val="center"/>
        <w:rPr>
          <w:b/>
          <w:sz w:val="28"/>
          <w:szCs w:val="28"/>
        </w:rPr>
      </w:pPr>
      <w:r w:rsidRPr="00E529CA">
        <w:rPr>
          <w:b/>
          <w:sz w:val="28"/>
          <w:szCs w:val="28"/>
        </w:rPr>
        <w:t xml:space="preserve">1. Lankytojų skaičius Utenos </w:t>
      </w:r>
      <w:r w:rsidR="0087443A">
        <w:rPr>
          <w:b/>
          <w:sz w:val="28"/>
          <w:szCs w:val="28"/>
        </w:rPr>
        <w:t>TIC</w:t>
      </w:r>
      <w:r w:rsidRPr="00E529CA">
        <w:rPr>
          <w:b/>
          <w:sz w:val="28"/>
          <w:szCs w:val="28"/>
        </w:rPr>
        <w:t xml:space="preserve"> skyriuose 2019 metais</w:t>
      </w:r>
    </w:p>
    <w:p w:rsidR="00E529CA" w:rsidRDefault="00E529CA" w:rsidP="00BE2C72">
      <w:pPr>
        <w:ind w:firstLine="1298"/>
        <w:jc w:val="both"/>
      </w:pPr>
    </w:p>
    <w:p w:rsidR="00BE2C72" w:rsidRDefault="00BE2C72" w:rsidP="00BE2C72">
      <w:pPr>
        <w:ind w:firstLine="1298"/>
        <w:jc w:val="both"/>
      </w:pPr>
      <w:r>
        <w:t>2019 m. bendrai Utenos turizmo informacijos skyriuose apsilankė 10146 lankytojai</w:t>
      </w:r>
      <w:r w:rsidR="000814BA">
        <w:t>:</w:t>
      </w:r>
      <w:r>
        <w:t xml:space="preserve"> </w:t>
      </w:r>
      <w:r w:rsidR="006D3BC9">
        <w:t>Stoties g.</w:t>
      </w:r>
      <w:r w:rsidR="000814BA">
        <w:t xml:space="preserve"> skyriuje – 7107 lankytojai, </w:t>
      </w:r>
      <w:proofErr w:type="spellStart"/>
      <w:r w:rsidR="000814BA">
        <w:t>Taurapilio</w:t>
      </w:r>
      <w:proofErr w:type="spellEnd"/>
      <w:r w:rsidR="000814BA">
        <w:t xml:space="preserve"> skyriuje – 3039 lankytojai (</w:t>
      </w:r>
      <w:r w:rsidR="006D3BC9">
        <w:t xml:space="preserve">žr. </w:t>
      </w:r>
      <w:r w:rsidR="000814BA">
        <w:t>1 pav.).</w:t>
      </w:r>
    </w:p>
    <w:p w:rsidR="006D3BC9" w:rsidRDefault="006D3BC9" w:rsidP="006D3BC9">
      <w:pPr>
        <w:jc w:val="both"/>
      </w:pPr>
    </w:p>
    <w:p w:rsidR="000814BA" w:rsidRPr="00BE2C72" w:rsidRDefault="006D3BC9" w:rsidP="006D3BC9">
      <w:pPr>
        <w:ind w:firstLine="1298"/>
      </w:pPr>
      <w:r>
        <w:rPr>
          <w:noProof/>
        </w:rPr>
        <w:drawing>
          <wp:inline distT="0" distB="0" distL="0" distR="0" wp14:anchorId="4C4EAEE0" wp14:editId="33F62B4A">
            <wp:extent cx="4076700" cy="2495550"/>
            <wp:effectExtent l="0" t="0" r="19050" b="19050"/>
            <wp:docPr id="1" name="Diagra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814BA" w:rsidRDefault="000814BA" w:rsidP="000814BA">
      <w:pPr>
        <w:jc w:val="center"/>
      </w:pPr>
      <w:r>
        <w:rPr>
          <w:b/>
        </w:rPr>
        <w:t>1</w:t>
      </w:r>
      <w:r w:rsidRPr="002A54B7">
        <w:rPr>
          <w:b/>
        </w:rPr>
        <w:t xml:space="preserve"> pav.</w:t>
      </w:r>
      <w:r w:rsidRPr="002A54B7">
        <w:t xml:space="preserve"> 201</w:t>
      </w:r>
      <w:r w:rsidR="004F232B">
        <w:t>9</w:t>
      </w:r>
      <w:r w:rsidRPr="002A54B7">
        <w:t xml:space="preserve"> m. Utenos TIC lankytojų pasiskirstymas skyriuose</w:t>
      </w:r>
    </w:p>
    <w:p w:rsidR="000814BA" w:rsidRDefault="000814BA" w:rsidP="000814BA">
      <w:pPr>
        <w:jc w:val="center"/>
      </w:pPr>
    </w:p>
    <w:p w:rsidR="004F232B" w:rsidRDefault="004F232B" w:rsidP="006D3BC9">
      <w:pPr>
        <w:ind w:firstLine="1296"/>
        <w:jc w:val="both"/>
      </w:pPr>
      <w:r>
        <w:t>2019 m. Stoties g. skyriaus lankytojų skaičius didėjo lyginant su 2016 m. ir 2017 m., tačiau mažėjo lyginant su 2018 m.</w:t>
      </w:r>
      <w:r w:rsidR="008D60CD">
        <w:t xml:space="preserve"> Tokį</w:t>
      </w:r>
      <w:r>
        <w:t xml:space="preserve"> lankytojų skaičiaus </w:t>
      </w:r>
      <w:r w:rsidR="008D60CD">
        <w:t>kitimą lyginant su 2018 m.</w:t>
      </w:r>
      <w:r>
        <w:t xml:space="preserve"> galėjo nulemti projekto „Suri</w:t>
      </w:r>
      <w:r w:rsidR="008D60CD">
        <w:t>nkt Lietuvą“ populiarumo mažėjimas</w:t>
      </w:r>
      <w:r>
        <w:t xml:space="preserve">. </w:t>
      </w:r>
      <w:r w:rsidR="005A7449">
        <w:t xml:space="preserve">2019 m. </w:t>
      </w:r>
      <w:proofErr w:type="spellStart"/>
      <w:r>
        <w:t>Taurapilio</w:t>
      </w:r>
      <w:proofErr w:type="spellEnd"/>
      <w:r>
        <w:t xml:space="preserve"> skyriaus lankytojų skaičius buvo didesnis lyginat su </w:t>
      </w:r>
      <w:r w:rsidR="005A7449">
        <w:t>ankstesniais metais (</w:t>
      </w:r>
      <w:r>
        <w:t>2016 m., 2017 m.</w:t>
      </w:r>
      <w:r w:rsidR="005A7449">
        <w:t xml:space="preserve">, </w:t>
      </w:r>
      <w:r>
        <w:t>2018 m.</w:t>
      </w:r>
      <w:r w:rsidR="005A7449">
        <w:t>)</w:t>
      </w:r>
      <w:r>
        <w:t xml:space="preserve"> (</w:t>
      </w:r>
      <w:r w:rsidR="008D60CD">
        <w:t xml:space="preserve">žr. </w:t>
      </w:r>
      <w:r>
        <w:t>2 pav.)</w:t>
      </w:r>
      <w:r w:rsidR="005A7449">
        <w:t>.</w:t>
      </w:r>
    </w:p>
    <w:p w:rsidR="006D3BC9" w:rsidRPr="002A54B7" w:rsidRDefault="006D3BC9" w:rsidP="004F232B">
      <w:pPr>
        <w:jc w:val="both"/>
      </w:pPr>
    </w:p>
    <w:p w:rsidR="000814BA" w:rsidRDefault="006D3BC9" w:rsidP="000814BA">
      <w:pPr>
        <w:jc w:val="center"/>
      </w:pPr>
      <w:r>
        <w:rPr>
          <w:noProof/>
        </w:rPr>
        <w:drawing>
          <wp:inline distT="0" distB="0" distL="0" distR="0" wp14:anchorId="5A4932E4" wp14:editId="45324572">
            <wp:extent cx="4448175" cy="2428875"/>
            <wp:effectExtent l="0" t="0" r="9525" b="9525"/>
            <wp:docPr id="8" name="Diagrama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F232B" w:rsidRDefault="00366077" w:rsidP="004F232B">
      <w:pPr>
        <w:jc w:val="center"/>
      </w:pPr>
      <w:r>
        <w:rPr>
          <w:b/>
        </w:rPr>
        <w:t>2</w:t>
      </w:r>
      <w:r w:rsidR="004F232B" w:rsidRPr="002A54B7">
        <w:rPr>
          <w:b/>
        </w:rPr>
        <w:t xml:space="preserve"> pav.</w:t>
      </w:r>
      <w:r w:rsidR="004F232B" w:rsidRPr="002A54B7">
        <w:t xml:space="preserve"> </w:t>
      </w:r>
      <w:r w:rsidR="004F232B">
        <w:t xml:space="preserve">Stoties g. skyriaus ir </w:t>
      </w:r>
      <w:proofErr w:type="spellStart"/>
      <w:r w:rsidR="004F232B">
        <w:t>Taurapilio</w:t>
      </w:r>
      <w:proofErr w:type="spellEnd"/>
      <w:r w:rsidR="004F232B">
        <w:t xml:space="preserve"> skyriaus lankytojai 2016-2019 m.</w:t>
      </w:r>
    </w:p>
    <w:p w:rsidR="004F232B" w:rsidRDefault="00995643" w:rsidP="0056137A">
      <w:pPr>
        <w:ind w:firstLine="1296"/>
        <w:jc w:val="both"/>
      </w:pPr>
      <w:r>
        <w:lastRenderedPageBreak/>
        <w:t xml:space="preserve">Žvelgiant į bendrą </w:t>
      </w:r>
      <w:r w:rsidR="008D60CD">
        <w:t>lankytojų skaičių skyriuose,</w:t>
      </w:r>
      <w:r>
        <w:t xml:space="preserve"> daugiausia </w:t>
      </w:r>
      <w:r w:rsidR="008D60CD">
        <w:t>jų</w:t>
      </w:r>
      <w:r>
        <w:t xml:space="preserve"> sulaukėme vasaros mėnesiais (birželis, liepa rugpjūtis)</w:t>
      </w:r>
      <w:r w:rsidR="008D60CD">
        <w:t xml:space="preserve"> –</w:t>
      </w:r>
      <w:r>
        <w:t xml:space="preserve"> </w:t>
      </w:r>
      <w:r w:rsidR="008D60CD">
        <w:t>viso 4630 lankytojų (arba 46</w:t>
      </w:r>
      <w:r>
        <w:t xml:space="preserve">% </w:t>
      </w:r>
      <w:r w:rsidR="008D60CD">
        <w:t>bendro</w:t>
      </w:r>
      <w:r>
        <w:t xml:space="preserve"> lankytojų skaičiaus), pavasario sezonu (kovas, balandis gegužė) apsilankė 2513 lankytojų (arba 25% </w:t>
      </w:r>
      <w:r w:rsidR="008D60CD">
        <w:t>bendro</w:t>
      </w:r>
      <w:r>
        <w:t xml:space="preserve"> lankytojų skaičiaus), žiemos </w:t>
      </w:r>
      <w:r w:rsidR="008D60CD">
        <w:t xml:space="preserve">sezonu </w:t>
      </w:r>
      <w:r>
        <w:t>(sausis, vasaris, gruodis) apsila</w:t>
      </w:r>
      <w:r w:rsidR="008D60CD">
        <w:t>n</w:t>
      </w:r>
      <w:r>
        <w:t xml:space="preserve">kė 1737 lankytojai (arba 17% </w:t>
      </w:r>
      <w:r w:rsidR="008D60CD">
        <w:t>bendro</w:t>
      </w:r>
      <w:r>
        <w:t xml:space="preserve"> lankytojų skaičiaus) ir mažiausia lankytojų užsuko rudens sezonu – 12% bendro lankytojų skaičiaus </w:t>
      </w:r>
      <w:r w:rsidR="008D60CD">
        <w:t>(</w:t>
      </w:r>
      <w:r>
        <w:t>arba 1266 lankytojai</w:t>
      </w:r>
      <w:r w:rsidR="008D60CD">
        <w:t>)</w:t>
      </w:r>
      <w:r>
        <w:t xml:space="preserve">. </w:t>
      </w:r>
    </w:p>
    <w:p w:rsidR="00995643" w:rsidRDefault="00995643" w:rsidP="004F232B">
      <w:pPr>
        <w:jc w:val="both"/>
      </w:pPr>
      <w:r>
        <w:t xml:space="preserve">Stoties g. skyriuje </w:t>
      </w:r>
      <w:r w:rsidR="008D60CD">
        <w:t xml:space="preserve">2019 m. </w:t>
      </w:r>
      <w:r>
        <w:t xml:space="preserve">daugiausia lankytojų buvo vasaros mėnesiais – rugpjūtį 1449 lankytojai, liepą 1431 lankytojas, birželį – 834 lankytojai, tuo tarpu </w:t>
      </w:r>
      <w:proofErr w:type="spellStart"/>
      <w:r>
        <w:t>Taurapilio</w:t>
      </w:r>
      <w:proofErr w:type="spellEnd"/>
      <w:r>
        <w:t xml:space="preserve"> skyriuje daugiausia lankytojų sulaukta kovą – 472 lankytojai, vasarį – 424 lankytojai ir birželį – 367 lankytojai. Tokį </w:t>
      </w:r>
      <w:r w:rsidR="00366077">
        <w:t>net</w:t>
      </w:r>
      <w:r>
        <w:t xml:space="preserve">olygų lankytojų pasiskirstymą skyriuose galėjo nulemti tai, kad Stoties g. skyrius vasaros sezonu dirba be išeiginių dienų ir </w:t>
      </w:r>
      <w:r w:rsidR="008D60CD">
        <w:t>šiame skyriuje lankosi turistai tiek iš Lietuvos miestų, tiek iš užsienio šalių, t</w:t>
      </w:r>
      <w:r w:rsidR="00366077">
        <w:t xml:space="preserve">uo tarpu </w:t>
      </w:r>
      <w:proofErr w:type="spellStart"/>
      <w:r w:rsidR="00366077">
        <w:t>Taurapilio</w:t>
      </w:r>
      <w:proofErr w:type="spellEnd"/>
      <w:r w:rsidR="00366077">
        <w:t xml:space="preserve"> skyriaus </w:t>
      </w:r>
      <w:proofErr w:type="spellStart"/>
      <w:r w:rsidR="00366077">
        <w:t>lokacija</w:t>
      </w:r>
      <w:proofErr w:type="spellEnd"/>
      <w:r w:rsidR="00366077">
        <w:t xml:space="preserve"> lemia tai, kad šio skyriaus paslaugomis </w:t>
      </w:r>
      <w:r w:rsidR="008D60CD">
        <w:t>dažniau</w:t>
      </w:r>
      <w:r w:rsidR="00366077">
        <w:t xml:space="preserve"> naudojasi vietiniai gyventojai (registruojasi į ekskursijas, perka bilietus į renginius ir pan.) (</w:t>
      </w:r>
      <w:r w:rsidR="008D60CD">
        <w:t xml:space="preserve">žr. </w:t>
      </w:r>
      <w:r w:rsidR="00366077">
        <w:t>3 pav.).</w:t>
      </w:r>
    </w:p>
    <w:p w:rsidR="0083142D" w:rsidRDefault="0083142D" w:rsidP="004F232B">
      <w:pPr>
        <w:jc w:val="both"/>
      </w:pPr>
    </w:p>
    <w:p w:rsidR="0083142D" w:rsidRDefault="0083142D" w:rsidP="004F232B">
      <w:pPr>
        <w:jc w:val="both"/>
      </w:pPr>
      <w:r>
        <w:rPr>
          <w:noProof/>
        </w:rPr>
        <w:drawing>
          <wp:inline distT="0" distB="0" distL="0" distR="0" wp14:anchorId="61FF4F2C" wp14:editId="59B6F563">
            <wp:extent cx="6120130" cy="3115301"/>
            <wp:effectExtent l="0" t="0" r="13970" b="9525"/>
            <wp:docPr id="9" name="Diagrama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66077" w:rsidRDefault="00366077" w:rsidP="00366077">
      <w:pPr>
        <w:jc w:val="center"/>
      </w:pPr>
      <w:r>
        <w:rPr>
          <w:b/>
        </w:rPr>
        <w:t>3</w:t>
      </w:r>
      <w:r w:rsidRPr="002A54B7">
        <w:rPr>
          <w:b/>
        </w:rPr>
        <w:t xml:space="preserve"> pav.</w:t>
      </w:r>
      <w:r w:rsidRPr="002A54B7">
        <w:t xml:space="preserve"> </w:t>
      </w:r>
      <w:r w:rsidR="0056137A">
        <w:t xml:space="preserve">2019 m. </w:t>
      </w:r>
      <w:r>
        <w:t>Stoties g. skyriaus i</w:t>
      </w:r>
      <w:r w:rsidR="0056137A">
        <w:t xml:space="preserve">r </w:t>
      </w:r>
      <w:proofErr w:type="spellStart"/>
      <w:r w:rsidR="0056137A">
        <w:t>Taurapilio</w:t>
      </w:r>
      <w:proofErr w:type="spellEnd"/>
      <w:r w:rsidR="0056137A">
        <w:t xml:space="preserve"> skyriaus lankytojų pasiskirstymas mėnesiais</w:t>
      </w:r>
    </w:p>
    <w:p w:rsidR="00366077" w:rsidRDefault="00366077" w:rsidP="00366077">
      <w:pPr>
        <w:jc w:val="center"/>
      </w:pPr>
    </w:p>
    <w:p w:rsidR="0083142D" w:rsidRDefault="00366077" w:rsidP="0056137A">
      <w:pPr>
        <w:ind w:firstLine="1296"/>
        <w:jc w:val="both"/>
      </w:pPr>
      <w:r>
        <w:t xml:space="preserve">2019 m. Utenos TIC skyriuose apsilankė 9358 lankytojai lietuviai. Tai sudarė 92% viso lankytojų skaičiaus (Stoties g. skyriuje apsilankė </w:t>
      </w:r>
      <w:r w:rsidR="00E462E0">
        <w:t>6533 lietuviai</w:t>
      </w:r>
      <w:r>
        <w:t xml:space="preserve">, </w:t>
      </w:r>
      <w:proofErr w:type="spellStart"/>
      <w:r>
        <w:t>Taurapilio</w:t>
      </w:r>
      <w:proofErr w:type="spellEnd"/>
      <w:r>
        <w:t xml:space="preserve"> skyriuje apsilankė </w:t>
      </w:r>
      <w:r w:rsidR="00E462E0">
        <w:t>2825 lietuviai</w:t>
      </w:r>
      <w:r>
        <w:t xml:space="preserve">). </w:t>
      </w:r>
    </w:p>
    <w:p w:rsidR="0083142D" w:rsidRDefault="0083142D" w:rsidP="00E462E0">
      <w:pPr>
        <w:jc w:val="center"/>
        <w:rPr>
          <w:b/>
        </w:rPr>
      </w:pPr>
      <w:r>
        <w:rPr>
          <w:noProof/>
        </w:rPr>
        <w:drawing>
          <wp:inline distT="0" distB="0" distL="0" distR="0" wp14:anchorId="307D844F" wp14:editId="5642B36A">
            <wp:extent cx="3876675" cy="2476500"/>
            <wp:effectExtent l="0" t="0" r="9525" b="19050"/>
            <wp:docPr id="10" name="Diagrama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462E0" w:rsidRDefault="00E462E0" w:rsidP="00E462E0">
      <w:pPr>
        <w:jc w:val="center"/>
      </w:pPr>
      <w:r>
        <w:rPr>
          <w:b/>
        </w:rPr>
        <w:t>4</w:t>
      </w:r>
      <w:r w:rsidRPr="002A54B7">
        <w:rPr>
          <w:b/>
        </w:rPr>
        <w:t xml:space="preserve"> pav.</w:t>
      </w:r>
      <w:r w:rsidRPr="002A54B7">
        <w:t xml:space="preserve"> 201</w:t>
      </w:r>
      <w:r>
        <w:t>9</w:t>
      </w:r>
      <w:r w:rsidRPr="002A54B7">
        <w:t xml:space="preserve"> m. Utenos TIC </w:t>
      </w:r>
      <w:r>
        <w:t>lietuvių ir užsieniečių lankytojų pasiskirstymas</w:t>
      </w:r>
    </w:p>
    <w:p w:rsidR="0083142D" w:rsidRDefault="0083142D" w:rsidP="0083142D">
      <w:pPr>
        <w:jc w:val="both"/>
      </w:pPr>
      <w:r>
        <w:lastRenderedPageBreak/>
        <w:t xml:space="preserve">Užsieniečiai sudarė 8% viso skyrių lankytojų skaičiaus – 788 užsieniečiai lankytojai (Stoties g. skyriuje apsilankė 574 užsieniečiai, </w:t>
      </w:r>
      <w:proofErr w:type="spellStart"/>
      <w:r>
        <w:t>Taurapilio</w:t>
      </w:r>
      <w:proofErr w:type="spellEnd"/>
      <w:r>
        <w:t xml:space="preserve"> skyriuje apsilankė 214 užsieniečių) (</w:t>
      </w:r>
      <w:r w:rsidR="0087443A">
        <w:t xml:space="preserve">žr. </w:t>
      </w:r>
      <w:r>
        <w:t>4 pav.).</w:t>
      </w:r>
    </w:p>
    <w:p w:rsidR="00CE5569" w:rsidRDefault="009236A0" w:rsidP="0087443A">
      <w:pPr>
        <w:jc w:val="both"/>
      </w:pPr>
      <w:r>
        <w:t>Didžiausią dalį iš užsienio lankytojų sudarė Baltijos ir kaimyninių šalių gyventojai (</w:t>
      </w:r>
      <w:r w:rsidR="003A2E55">
        <w:t>latviai, estai, lenkai, baltarusiai, rusai) 57% viso užsienio lankytojų skaičiaus (453 lankytojai). 12% užsienio šalių lankytojų (98 lankytojai) sudarė Vakarų Europos šalių gyventojai (prancūzai, vokiečiai, olandai, belgai). Skandinavijos šalių turistai (norvegai, švedai, suomiai, danai) sudarė 11% (89 lankytojai), Pietų Europos šalių gyventojai (ispanai, portugalai, italai, graikai) 6% (49 lankytojai) bendro užsienio šalių lankytojų skaičiaus</w:t>
      </w:r>
      <w:r w:rsidR="0056137A">
        <w:t xml:space="preserve"> (žr. 5 pav</w:t>
      </w:r>
      <w:r w:rsidR="003A2E55">
        <w:t>.</w:t>
      </w:r>
      <w:r w:rsidR="0056137A">
        <w:t>).</w:t>
      </w:r>
      <w:r w:rsidR="003A2E55">
        <w:t xml:space="preserve"> </w:t>
      </w:r>
    </w:p>
    <w:p w:rsidR="0087443A" w:rsidRDefault="0087443A" w:rsidP="009236A0">
      <w:pPr>
        <w:jc w:val="both"/>
      </w:pPr>
    </w:p>
    <w:p w:rsidR="00CE5569" w:rsidRDefault="0087443A" w:rsidP="000814BA">
      <w:pPr>
        <w:jc w:val="center"/>
      </w:pPr>
      <w:r>
        <w:rPr>
          <w:noProof/>
        </w:rPr>
        <w:drawing>
          <wp:inline distT="0" distB="0" distL="0" distR="0" wp14:anchorId="463FC7F5" wp14:editId="0FCBD0CA">
            <wp:extent cx="4953000" cy="6391276"/>
            <wp:effectExtent l="0" t="0" r="19050" b="9525"/>
            <wp:docPr id="11" name="Diagrama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25662" w:rsidRPr="00925662" w:rsidRDefault="00925662" w:rsidP="00925662">
      <w:pPr>
        <w:jc w:val="center"/>
        <w:rPr>
          <w:b/>
        </w:rPr>
      </w:pPr>
      <w:r>
        <w:rPr>
          <w:b/>
        </w:rPr>
        <w:t>5</w:t>
      </w:r>
      <w:r w:rsidRPr="00925662">
        <w:rPr>
          <w:b/>
        </w:rPr>
        <w:t xml:space="preserve"> pav. </w:t>
      </w:r>
      <w:r w:rsidRPr="00925662">
        <w:t>201</w:t>
      </w:r>
      <w:r>
        <w:t>9</w:t>
      </w:r>
      <w:r w:rsidRPr="00925662">
        <w:t xml:space="preserve"> m. Utenos TIC užsienio šalių lankytojų pasiskirstymas pagal šalis</w:t>
      </w:r>
    </w:p>
    <w:p w:rsidR="00CE5569" w:rsidRDefault="00CE5569" w:rsidP="000814BA">
      <w:pPr>
        <w:jc w:val="center"/>
      </w:pPr>
    </w:p>
    <w:p w:rsidR="00D61574" w:rsidRDefault="00D61574" w:rsidP="00925662">
      <w:pPr>
        <w:jc w:val="both"/>
      </w:pPr>
    </w:p>
    <w:p w:rsidR="00925662" w:rsidRDefault="00925662" w:rsidP="00925662">
      <w:pPr>
        <w:jc w:val="both"/>
      </w:pPr>
      <w:r>
        <w:t xml:space="preserve">Kitų žemynų šalių lankytojai (Šiaurės Amerika </w:t>
      </w:r>
      <w:r w:rsidR="0087443A">
        <w:t>–</w:t>
      </w:r>
      <w:r>
        <w:t xml:space="preserve"> amerikiečiai, kanadiečiai, Pietų Amerika </w:t>
      </w:r>
      <w:r w:rsidR="0087443A">
        <w:t>–</w:t>
      </w:r>
      <w:r>
        <w:t xml:space="preserve"> brazilai, argentiniečiai, čiliečiai, </w:t>
      </w:r>
      <w:proofErr w:type="spellStart"/>
      <w:r>
        <w:t>kolumbiečiai</w:t>
      </w:r>
      <w:proofErr w:type="spellEnd"/>
      <w:r>
        <w:t>,</w:t>
      </w:r>
      <w:r w:rsidRPr="00B47ECF">
        <w:t xml:space="preserve"> </w:t>
      </w:r>
      <w:r>
        <w:t xml:space="preserve">Azija </w:t>
      </w:r>
      <w:r w:rsidR="0087443A">
        <w:t>–</w:t>
      </w:r>
      <w:r>
        <w:t xml:space="preserve"> kinai,</w:t>
      </w:r>
      <w:r w:rsidRPr="00B47ECF">
        <w:t xml:space="preserve"> </w:t>
      </w:r>
      <w:r>
        <w:t>izraeliečiai) sudarė 3% (24 lankytojai) bendro užsienio šalių lankytojų skaičiaus (</w:t>
      </w:r>
      <w:r w:rsidR="0087443A">
        <w:t xml:space="preserve">žr. </w:t>
      </w:r>
      <w:r>
        <w:t>5 pav.).</w:t>
      </w:r>
    </w:p>
    <w:p w:rsidR="001101CC" w:rsidRDefault="001101CC">
      <w:pPr>
        <w:spacing w:after="200" w:line="276" w:lineRule="auto"/>
      </w:pPr>
      <w:r>
        <w:br w:type="page"/>
      </w:r>
    </w:p>
    <w:p w:rsidR="001101CC" w:rsidRPr="000103E8" w:rsidRDefault="000103E8" w:rsidP="001101CC">
      <w:pPr>
        <w:jc w:val="center"/>
        <w:rPr>
          <w:b/>
          <w:sz w:val="28"/>
          <w:szCs w:val="28"/>
        </w:rPr>
      </w:pPr>
      <w:r w:rsidRPr="000103E8">
        <w:rPr>
          <w:b/>
          <w:sz w:val="28"/>
          <w:szCs w:val="28"/>
        </w:rPr>
        <w:lastRenderedPageBreak/>
        <w:t xml:space="preserve">2. </w:t>
      </w:r>
      <w:r w:rsidR="001101CC" w:rsidRPr="000103E8">
        <w:rPr>
          <w:b/>
          <w:sz w:val="28"/>
          <w:szCs w:val="28"/>
        </w:rPr>
        <w:t xml:space="preserve">2019 m. Utenos </w:t>
      </w:r>
      <w:r w:rsidR="0087443A" w:rsidRPr="000103E8">
        <w:rPr>
          <w:b/>
          <w:sz w:val="28"/>
          <w:szCs w:val="28"/>
        </w:rPr>
        <w:t>TIC</w:t>
      </w:r>
      <w:r w:rsidR="001101CC" w:rsidRPr="000103E8">
        <w:rPr>
          <w:b/>
          <w:sz w:val="28"/>
          <w:szCs w:val="28"/>
        </w:rPr>
        <w:t xml:space="preserve"> svetainės </w:t>
      </w:r>
      <w:hyperlink r:id="rId12" w:history="1">
        <w:r w:rsidR="001101CC" w:rsidRPr="000103E8">
          <w:rPr>
            <w:rStyle w:val="Hipersaitas"/>
            <w:b/>
            <w:color w:val="auto"/>
            <w:sz w:val="28"/>
            <w:szCs w:val="28"/>
            <w:u w:val="none"/>
          </w:rPr>
          <w:t>www.utenainfo.lt</w:t>
        </w:r>
      </w:hyperlink>
      <w:r w:rsidR="001101CC" w:rsidRPr="000103E8">
        <w:rPr>
          <w:b/>
          <w:sz w:val="28"/>
          <w:szCs w:val="28"/>
        </w:rPr>
        <w:t xml:space="preserve"> prisijungimo seansų ataskaita</w:t>
      </w:r>
    </w:p>
    <w:p w:rsidR="00925662" w:rsidRDefault="00925662" w:rsidP="000814BA">
      <w:pPr>
        <w:jc w:val="center"/>
      </w:pPr>
    </w:p>
    <w:p w:rsidR="00874378" w:rsidRDefault="00707B63" w:rsidP="00707B63">
      <w:pPr>
        <w:ind w:firstLine="1296"/>
        <w:jc w:val="both"/>
      </w:pPr>
      <w:r>
        <w:rPr>
          <w:rFonts w:eastAsia="Calibri"/>
          <w:lang w:eastAsia="en-US"/>
        </w:rPr>
        <w:t>Naudojant „</w:t>
      </w:r>
      <w:proofErr w:type="spellStart"/>
      <w:r>
        <w:rPr>
          <w:rFonts w:eastAsia="Calibri"/>
          <w:lang w:eastAsia="en-US"/>
        </w:rPr>
        <w:t>Google</w:t>
      </w:r>
      <w:proofErr w:type="spellEnd"/>
      <w:r>
        <w:rPr>
          <w:rFonts w:eastAsia="Calibri"/>
          <w:lang w:eastAsia="en-US"/>
        </w:rPr>
        <w:t xml:space="preserve"> </w:t>
      </w:r>
      <w:proofErr w:type="spellStart"/>
      <w:r>
        <w:rPr>
          <w:rFonts w:eastAsia="Calibri"/>
          <w:lang w:eastAsia="en-US"/>
        </w:rPr>
        <w:t>Analitics</w:t>
      </w:r>
      <w:proofErr w:type="spellEnd"/>
      <w:r>
        <w:rPr>
          <w:rFonts w:eastAsia="Calibri"/>
          <w:lang w:eastAsia="en-US"/>
        </w:rPr>
        <w:t xml:space="preserve">“ sistemą yra stebimi prie </w:t>
      </w:r>
      <w:r w:rsidRPr="00707B63">
        <w:rPr>
          <w:rFonts w:eastAsia="Calibri"/>
          <w:lang w:eastAsia="en-US"/>
        </w:rPr>
        <w:t xml:space="preserve">Utenos turizmo informacijos centro svetainės </w:t>
      </w:r>
      <w:hyperlink r:id="rId13" w:history="1">
        <w:r w:rsidRPr="00707B63">
          <w:rPr>
            <w:rFonts w:eastAsia="Calibri"/>
            <w:lang w:eastAsia="en-US"/>
          </w:rPr>
          <w:t>www.utenainfo.lt</w:t>
        </w:r>
      </w:hyperlink>
      <w:r w:rsidR="00A64DB7">
        <w:rPr>
          <w:rFonts w:eastAsia="Calibri"/>
          <w:lang w:eastAsia="en-US"/>
        </w:rPr>
        <w:t xml:space="preserve"> prisijungimų</w:t>
      </w:r>
      <w:r w:rsidRPr="00707B63">
        <w:rPr>
          <w:rFonts w:eastAsia="Calibri"/>
          <w:lang w:eastAsia="en-US"/>
        </w:rPr>
        <w:t xml:space="preserve"> </w:t>
      </w:r>
      <w:r>
        <w:rPr>
          <w:rFonts w:eastAsia="Calibri"/>
          <w:lang w:eastAsia="en-US"/>
        </w:rPr>
        <w:t>skaičiaus rodikliai. Prisijungimų</w:t>
      </w:r>
      <w:r w:rsidR="00A64DB7">
        <w:rPr>
          <w:rFonts w:eastAsia="Calibri"/>
          <w:lang w:eastAsia="en-US"/>
        </w:rPr>
        <w:t xml:space="preserve"> seansų</w:t>
      </w:r>
      <w:r>
        <w:rPr>
          <w:rFonts w:eastAsia="Calibri"/>
          <w:lang w:eastAsia="en-US"/>
        </w:rPr>
        <w:t xml:space="preserve"> skaičius prie svetainės didė</w:t>
      </w:r>
      <w:r w:rsidR="00A64DB7">
        <w:rPr>
          <w:rFonts w:eastAsia="Calibri"/>
          <w:lang w:eastAsia="en-US"/>
        </w:rPr>
        <w:t>ja kiekvienais metais (žr. 6 pav.</w:t>
      </w:r>
      <w:r>
        <w:rPr>
          <w:rFonts w:eastAsia="Calibri"/>
          <w:lang w:eastAsia="en-US"/>
        </w:rPr>
        <w:t>), t.y. 2019 m.</w:t>
      </w:r>
      <w:r w:rsidR="00A64DB7">
        <w:rPr>
          <w:rFonts w:eastAsia="Calibri"/>
          <w:lang w:eastAsia="en-US"/>
        </w:rPr>
        <w:t xml:space="preserve"> lyginant</w:t>
      </w:r>
      <w:r>
        <w:rPr>
          <w:rFonts w:eastAsia="Calibri"/>
          <w:lang w:eastAsia="en-US"/>
        </w:rPr>
        <w:t xml:space="preserve"> su 2016 m. prisijungimų prie svetainės </w:t>
      </w:r>
      <w:r w:rsidR="00A64DB7">
        <w:rPr>
          <w:rFonts w:eastAsia="Calibri"/>
          <w:lang w:eastAsia="en-US"/>
        </w:rPr>
        <w:t>padidėjo</w:t>
      </w:r>
      <w:r>
        <w:rPr>
          <w:rFonts w:eastAsia="Calibri"/>
          <w:lang w:eastAsia="en-US"/>
        </w:rPr>
        <w:t xml:space="preserve"> 2,7 karto. V</w:t>
      </w:r>
      <w:r w:rsidRPr="00707B63">
        <w:rPr>
          <w:rFonts w:eastAsia="Calibri"/>
          <w:lang w:eastAsia="en-US"/>
        </w:rPr>
        <w:t>idutinė prisijungimo seanso trukmė</w:t>
      </w:r>
      <w:r>
        <w:rPr>
          <w:rFonts w:eastAsia="Calibri"/>
          <w:lang w:eastAsia="en-US"/>
        </w:rPr>
        <w:t xml:space="preserve"> trumpėja kiekvienais metais, t.y. 2015 m. </w:t>
      </w:r>
      <w:r w:rsidR="00A64DB7">
        <w:rPr>
          <w:rFonts w:eastAsia="Calibri"/>
          <w:lang w:eastAsia="en-US"/>
        </w:rPr>
        <w:t>vidutinė vieno seanso prisijungimo trukmė buvo</w:t>
      </w:r>
      <w:r>
        <w:rPr>
          <w:rFonts w:eastAsia="Calibri"/>
          <w:lang w:eastAsia="en-US"/>
        </w:rPr>
        <w:t xml:space="preserve"> 2,49 min., 2016 m. – 2,43 min., 2017 m. – 2,32 min., 2018 m. – 2,13 min., 2019 m. – 2,04 min. Galbūt sutrupėjusi prisijungimo seanso trukmė gali reikšti tai, kad spartėja interneto ryšys,</w:t>
      </w:r>
      <w:r w:rsidR="00A64DB7">
        <w:rPr>
          <w:rFonts w:eastAsia="Calibri"/>
          <w:lang w:eastAsia="en-US"/>
        </w:rPr>
        <w:t xml:space="preserve"> asmenys naudojasi greičiau veikiančiomis priemonėmis (kompiuteriais, </w:t>
      </w:r>
      <w:proofErr w:type="spellStart"/>
      <w:r w:rsidR="00A64DB7">
        <w:rPr>
          <w:rFonts w:eastAsia="Calibri"/>
          <w:lang w:eastAsia="en-US"/>
        </w:rPr>
        <w:t>plančetėmis</w:t>
      </w:r>
      <w:proofErr w:type="spellEnd"/>
      <w:r w:rsidR="00A64DB7">
        <w:rPr>
          <w:rFonts w:eastAsia="Calibri"/>
          <w:lang w:eastAsia="en-US"/>
        </w:rPr>
        <w:t>, mobiliaisiais telefonais)</w:t>
      </w:r>
      <w:r>
        <w:rPr>
          <w:rFonts w:eastAsia="Calibri"/>
          <w:lang w:eastAsia="en-US"/>
        </w:rPr>
        <w:t xml:space="preserve"> ar dabartinėje</w:t>
      </w:r>
      <w:r w:rsidR="00A64DB7">
        <w:rPr>
          <w:rFonts w:eastAsia="Calibri"/>
          <w:lang w:eastAsia="en-US"/>
        </w:rPr>
        <w:t xml:space="preserve"> Utenos TIC</w:t>
      </w:r>
      <w:r>
        <w:rPr>
          <w:rFonts w:eastAsia="Calibri"/>
          <w:lang w:eastAsia="en-US"/>
        </w:rPr>
        <w:t xml:space="preserve"> svetainėje informacija </w:t>
      </w:r>
      <w:r w:rsidR="00A64DB7">
        <w:rPr>
          <w:rFonts w:eastAsia="Calibri"/>
          <w:lang w:eastAsia="en-US"/>
        </w:rPr>
        <w:t xml:space="preserve">yra </w:t>
      </w:r>
      <w:r>
        <w:rPr>
          <w:rFonts w:eastAsia="Calibri"/>
          <w:lang w:eastAsia="en-US"/>
        </w:rPr>
        <w:t xml:space="preserve">sudėliota aiškiau ir </w:t>
      </w:r>
      <w:r w:rsidR="00A64DB7">
        <w:rPr>
          <w:rFonts w:eastAsia="Calibri"/>
          <w:lang w:eastAsia="en-US"/>
        </w:rPr>
        <w:t>mažiau</w:t>
      </w:r>
      <w:r>
        <w:rPr>
          <w:rFonts w:eastAsia="Calibri"/>
          <w:lang w:eastAsia="en-US"/>
        </w:rPr>
        <w:t xml:space="preserve"> laiko užtrunka ją surasti.</w:t>
      </w:r>
    </w:p>
    <w:p w:rsidR="00874378" w:rsidRDefault="00874378" w:rsidP="00022E9D"/>
    <w:p w:rsidR="00874378" w:rsidRDefault="00A64DB7" w:rsidP="00874378">
      <w:pPr>
        <w:jc w:val="center"/>
      </w:pPr>
      <w:r>
        <w:rPr>
          <w:noProof/>
        </w:rPr>
        <w:drawing>
          <wp:inline distT="0" distB="0" distL="0" distR="0" wp14:anchorId="15D6C68C" wp14:editId="65C5A33D">
            <wp:extent cx="4210050" cy="2486025"/>
            <wp:effectExtent l="0" t="0" r="19050" b="9525"/>
            <wp:docPr id="2" name="Diagra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74378" w:rsidRPr="002A54B7" w:rsidRDefault="00A64DB7" w:rsidP="00874378">
      <w:pPr>
        <w:jc w:val="center"/>
        <w:rPr>
          <w:rFonts w:eastAsia="Calibri"/>
          <w:lang w:eastAsia="en-US"/>
        </w:rPr>
      </w:pPr>
      <w:r>
        <w:rPr>
          <w:rFonts w:eastAsia="Calibri"/>
          <w:b/>
          <w:lang w:eastAsia="en-US"/>
        </w:rPr>
        <w:t>6</w:t>
      </w:r>
      <w:r w:rsidR="00874378" w:rsidRPr="002A54B7">
        <w:rPr>
          <w:rFonts w:eastAsia="Calibri"/>
          <w:b/>
          <w:lang w:eastAsia="en-US"/>
        </w:rPr>
        <w:t xml:space="preserve"> pav.</w:t>
      </w:r>
      <w:r w:rsidR="00874378" w:rsidRPr="002A54B7">
        <w:rPr>
          <w:rFonts w:eastAsia="Calibri"/>
          <w:lang w:eastAsia="en-US"/>
        </w:rPr>
        <w:t xml:space="preserve"> Prisijungimų prie Utenos TIC internetinės svetainės skaičius 201</w:t>
      </w:r>
      <w:r w:rsidR="00874378">
        <w:rPr>
          <w:rFonts w:eastAsia="Calibri"/>
          <w:lang w:eastAsia="en-US"/>
        </w:rPr>
        <w:t>5</w:t>
      </w:r>
      <w:r w:rsidR="00874378" w:rsidRPr="002A54B7">
        <w:rPr>
          <w:rFonts w:eastAsia="Calibri"/>
          <w:lang w:eastAsia="en-US"/>
        </w:rPr>
        <w:t>–201</w:t>
      </w:r>
      <w:r w:rsidR="00874378">
        <w:rPr>
          <w:rFonts w:eastAsia="Calibri"/>
          <w:lang w:eastAsia="en-US"/>
        </w:rPr>
        <w:t>9</w:t>
      </w:r>
      <w:r w:rsidR="00874378" w:rsidRPr="002A54B7">
        <w:rPr>
          <w:rFonts w:eastAsia="Calibri"/>
          <w:lang w:eastAsia="en-US"/>
        </w:rPr>
        <w:t xml:space="preserve"> m.</w:t>
      </w:r>
    </w:p>
    <w:p w:rsidR="00874378" w:rsidRDefault="00874378" w:rsidP="00022E9D"/>
    <w:p w:rsidR="00E72BD7" w:rsidRPr="00650176" w:rsidRDefault="00E72BD7" w:rsidP="00E72BD7">
      <w:pPr>
        <w:jc w:val="both"/>
      </w:pPr>
      <w:r>
        <w:t xml:space="preserve">Prisijungimų prie svetainės skaičių lemia sezoniškumas, t.y. vasaros sezonu prisijungusiųjų skaičius sudarė </w:t>
      </w:r>
      <w:r w:rsidR="00650176" w:rsidRPr="00650176">
        <w:t xml:space="preserve">37 </w:t>
      </w:r>
      <w:r w:rsidR="00650176">
        <w:t>% (36066 prisijungimai), pavasario sezonu – 24 % (23784 prisijungimai), žiemos sezonu - 21 % (20362 prisijungimai), rudens sezonu 18 % (17285 prisijungimai)</w:t>
      </w:r>
      <w:r w:rsidR="00A64DB7">
        <w:t xml:space="preserve"> bendro prisijungimų skaičiaus (žr. </w:t>
      </w:r>
      <w:r w:rsidR="0056137A">
        <w:t>7</w:t>
      </w:r>
      <w:r w:rsidR="00A64DB7">
        <w:t xml:space="preserve"> pav.)</w:t>
      </w:r>
      <w:r w:rsidR="00650176">
        <w:t>.</w:t>
      </w:r>
    </w:p>
    <w:p w:rsidR="00707B63" w:rsidRDefault="00707B63" w:rsidP="00022E9D"/>
    <w:p w:rsidR="00707B63" w:rsidRDefault="00A64DB7" w:rsidP="00022E9D">
      <w:r>
        <w:rPr>
          <w:noProof/>
        </w:rPr>
        <w:drawing>
          <wp:inline distT="0" distB="0" distL="0" distR="0" wp14:anchorId="6A215E05" wp14:editId="24560D71">
            <wp:extent cx="6120130" cy="2869195"/>
            <wp:effectExtent l="0" t="0" r="13970" b="26670"/>
            <wp:docPr id="4" name="Diagra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A57C7" w:rsidRPr="002A54B7" w:rsidRDefault="0056137A" w:rsidP="007A57C7">
      <w:pPr>
        <w:jc w:val="center"/>
      </w:pPr>
      <w:r>
        <w:rPr>
          <w:b/>
        </w:rPr>
        <w:t>7</w:t>
      </w:r>
      <w:r w:rsidR="007A57C7" w:rsidRPr="002A54B7">
        <w:rPr>
          <w:b/>
        </w:rPr>
        <w:t xml:space="preserve"> pav.</w:t>
      </w:r>
      <w:r w:rsidR="007A57C7" w:rsidRPr="002A54B7">
        <w:t xml:space="preserve"> </w:t>
      </w:r>
      <w:r>
        <w:t>2019</w:t>
      </w:r>
      <w:r w:rsidRPr="002A54B7">
        <w:t xml:space="preserve"> m.</w:t>
      </w:r>
      <w:r>
        <w:t xml:space="preserve"> p</w:t>
      </w:r>
      <w:r w:rsidR="007A57C7" w:rsidRPr="002A54B7">
        <w:t xml:space="preserve">risijungimų skaičiaus prie svetainės </w:t>
      </w:r>
      <w:proofErr w:type="spellStart"/>
      <w:r w:rsidR="007A57C7" w:rsidRPr="002A54B7">
        <w:t>www.utenainfo.lt</w:t>
      </w:r>
      <w:proofErr w:type="spellEnd"/>
      <w:r w:rsidR="007A57C7" w:rsidRPr="002A54B7">
        <w:t xml:space="preserve"> pasiskirstymas mėnesiais </w:t>
      </w:r>
    </w:p>
    <w:p w:rsidR="00707B63" w:rsidRDefault="00707B63" w:rsidP="00022E9D"/>
    <w:p w:rsidR="00707B63" w:rsidRDefault="00A96B7A" w:rsidP="00A96B7A">
      <w:pPr>
        <w:jc w:val="both"/>
      </w:pPr>
      <w:r>
        <w:lastRenderedPageBreak/>
        <w:t xml:space="preserve">2019 m. prie Utenos TIC svetainės prisijungė 96 valstybių gyventojai. Didžiausią dalį sudarė lietuviai, kurie prie svetainės prisijungė </w:t>
      </w:r>
      <w:r w:rsidRPr="00A96B7A">
        <w:t>91857</w:t>
      </w:r>
      <w:r>
        <w:t xml:space="preserve"> kartus, užsieniečiai prie svetainės prisijungė </w:t>
      </w:r>
      <w:r w:rsidRPr="00A96B7A">
        <w:t>5640</w:t>
      </w:r>
      <w:r>
        <w:t xml:space="preserve"> kartų (žr. </w:t>
      </w:r>
      <w:r w:rsidR="0056137A">
        <w:t>8</w:t>
      </w:r>
      <w:r>
        <w:t xml:space="preserve"> pav.).</w:t>
      </w:r>
    </w:p>
    <w:p w:rsidR="00A96B7A" w:rsidRDefault="00A96B7A" w:rsidP="00A96B7A">
      <w:pPr>
        <w:jc w:val="both"/>
      </w:pPr>
    </w:p>
    <w:p w:rsidR="00A96B7A" w:rsidRDefault="00A96B7A" w:rsidP="00A96B7A">
      <w:pPr>
        <w:jc w:val="center"/>
      </w:pPr>
      <w:r>
        <w:rPr>
          <w:noProof/>
        </w:rPr>
        <w:drawing>
          <wp:inline distT="0" distB="0" distL="0" distR="0" wp14:anchorId="3C7F5D38" wp14:editId="03F32463">
            <wp:extent cx="4229100" cy="2743200"/>
            <wp:effectExtent l="0" t="0" r="19050" b="19050"/>
            <wp:docPr id="5" name="Diagra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96B7A" w:rsidRPr="00A96B7A" w:rsidRDefault="0056137A" w:rsidP="00A96B7A">
      <w:pPr>
        <w:jc w:val="center"/>
      </w:pPr>
      <w:r>
        <w:rPr>
          <w:b/>
        </w:rPr>
        <w:t>8</w:t>
      </w:r>
      <w:r w:rsidR="00A96B7A" w:rsidRPr="00FB5402">
        <w:rPr>
          <w:b/>
        </w:rPr>
        <w:t xml:space="preserve"> pav.</w:t>
      </w:r>
      <w:r w:rsidR="00A96B7A" w:rsidRPr="00FB5402">
        <w:t xml:space="preserve"> 2019 m. prisijungusių prie Utenos TIC svetainės pasiskirstymas </w:t>
      </w:r>
      <w:r>
        <w:t>(</w:t>
      </w:r>
      <w:r w:rsidR="00FB5402" w:rsidRPr="00FB5402">
        <w:t>Lietuva ir Užsienio šalys</w:t>
      </w:r>
      <w:r>
        <w:t>)</w:t>
      </w:r>
    </w:p>
    <w:p w:rsidR="00707B63" w:rsidRDefault="00707B63" w:rsidP="00022E9D"/>
    <w:p w:rsidR="00FB5402" w:rsidRDefault="00FB5402" w:rsidP="00022E9D"/>
    <w:p w:rsidR="00FB5402" w:rsidRDefault="00FB5402" w:rsidP="00FB5402">
      <w:pPr>
        <w:jc w:val="both"/>
      </w:pPr>
      <w:r>
        <w:t xml:space="preserve">Daugiausia iš užsienio šalių prisijungusių prie Utenos TIC svetainės 2019 m. buvo Europos žemyno šalių gyventojai – viso 4516 prisijungimų, Šiaurės Amerikos žemyno šalių gyventojai prisijungė 683 kartus, Azijos žemyno gyventojai 285 kartus. Kitų žemynų gyventojų prisijungimai neviršijo 50 prisijungimų skaičiaus: Afrika – 46 kartai, Australija – 17 kartų, Pietų Amerika – 1 kartą (žr. </w:t>
      </w:r>
      <w:r w:rsidR="0056137A">
        <w:t>9</w:t>
      </w:r>
      <w:r>
        <w:t xml:space="preserve"> pav.). </w:t>
      </w:r>
    </w:p>
    <w:p w:rsidR="00AD7793" w:rsidRDefault="00AD7793" w:rsidP="00FB5402">
      <w:pPr>
        <w:jc w:val="both"/>
      </w:pPr>
    </w:p>
    <w:p w:rsidR="00AD7793" w:rsidRDefault="00AD7793" w:rsidP="00AD7793">
      <w:pPr>
        <w:jc w:val="center"/>
      </w:pPr>
      <w:r>
        <w:rPr>
          <w:noProof/>
        </w:rPr>
        <w:drawing>
          <wp:inline distT="0" distB="0" distL="0" distR="0" wp14:anchorId="78A24DC0" wp14:editId="2784E39A">
            <wp:extent cx="4743451" cy="2628901"/>
            <wp:effectExtent l="0" t="0" r="19050" b="19050"/>
            <wp:docPr id="3" name="Diagra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07B63" w:rsidRDefault="0056137A" w:rsidP="00FB5402">
      <w:pPr>
        <w:jc w:val="center"/>
      </w:pPr>
      <w:r>
        <w:rPr>
          <w:b/>
        </w:rPr>
        <w:t>9</w:t>
      </w:r>
      <w:r w:rsidR="00FB5402" w:rsidRPr="00FB5402">
        <w:rPr>
          <w:b/>
        </w:rPr>
        <w:t xml:space="preserve"> pav.</w:t>
      </w:r>
      <w:r w:rsidR="00FB5402" w:rsidRPr="00FB5402">
        <w:t xml:space="preserve"> 2019 m. prisijungusių prie Utenos TIC svetainės pasiskirstymas pagal žemynus</w:t>
      </w:r>
    </w:p>
    <w:p w:rsidR="00272469" w:rsidRDefault="00272469" w:rsidP="00022E9D"/>
    <w:p w:rsidR="00272469" w:rsidRDefault="00272469" w:rsidP="00022E9D"/>
    <w:p w:rsidR="005A1311" w:rsidRDefault="005A1311" w:rsidP="00022E9D"/>
    <w:p w:rsidR="00272469" w:rsidRDefault="00FB5402" w:rsidP="005A1311">
      <w:pPr>
        <w:jc w:val="both"/>
      </w:pPr>
      <w:r>
        <w:t xml:space="preserve">Dažniausiai prisijungusių prie Utenos TIC svetainės </w:t>
      </w:r>
      <w:r w:rsidR="005A1311">
        <w:t>šalių gyventojų skaičius pateikiamas 1 lentelėje (lentelėje surašytos visos šalys, kurių gyventojų prisijungimų prie svetainės skaičius viršijos 50 kartų per 2019 m.).</w:t>
      </w:r>
    </w:p>
    <w:p w:rsidR="00272469" w:rsidRDefault="00272469" w:rsidP="00022E9D"/>
    <w:p w:rsidR="00AF2FF5" w:rsidRPr="00B77D2A" w:rsidRDefault="00AF2FF5" w:rsidP="00AF2FF5">
      <w:pPr>
        <w:jc w:val="center"/>
      </w:pPr>
      <w:r w:rsidRPr="00B77D2A">
        <w:rPr>
          <w:b/>
        </w:rPr>
        <w:lastRenderedPageBreak/>
        <w:t>1 lentelė.</w:t>
      </w:r>
      <w:r w:rsidRPr="00B77D2A">
        <w:t xml:space="preserve"> </w:t>
      </w:r>
      <w:r w:rsidR="0056137A">
        <w:t>2019</w:t>
      </w:r>
      <w:r w:rsidR="0056137A" w:rsidRPr="00B77D2A">
        <w:t xml:space="preserve"> m</w:t>
      </w:r>
      <w:r w:rsidR="0056137A">
        <w:t xml:space="preserve"> d</w:t>
      </w:r>
      <w:r w:rsidR="005A1311">
        <w:t>ažniausiai prie svetainės</w:t>
      </w:r>
      <w:r w:rsidR="0056137A">
        <w:t xml:space="preserve"> Utenos TIC</w:t>
      </w:r>
      <w:r w:rsidR="005A1311">
        <w:t xml:space="preserve"> prisijungiantys užsienio šalių gyventojai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34"/>
        <w:gridCol w:w="2553"/>
        <w:gridCol w:w="1134"/>
      </w:tblGrid>
      <w:tr w:rsidR="00AF2FF5" w:rsidRPr="00B77D2A" w:rsidTr="00272469">
        <w:trPr>
          <w:jc w:val="center"/>
        </w:trPr>
        <w:tc>
          <w:tcPr>
            <w:tcW w:w="2518" w:type="dxa"/>
            <w:tcBorders>
              <w:top w:val="single" w:sz="12" w:space="0" w:color="auto"/>
              <w:left w:val="single" w:sz="12" w:space="0" w:color="auto"/>
              <w:bottom w:val="single" w:sz="12" w:space="0" w:color="auto"/>
              <w:right w:val="single" w:sz="12" w:space="0" w:color="auto"/>
            </w:tcBorders>
            <w:shd w:val="clear" w:color="auto" w:fill="FFFF00"/>
            <w:vAlign w:val="center"/>
          </w:tcPr>
          <w:p w:rsidR="00AF2FF5" w:rsidRPr="00B77D2A" w:rsidRDefault="00AF2FF5" w:rsidP="00272469">
            <w:pPr>
              <w:rPr>
                <w:b/>
              </w:rPr>
            </w:pPr>
            <w:r>
              <w:rPr>
                <w:b/>
              </w:rPr>
              <w:t>Šalis</w:t>
            </w:r>
          </w:p>
        </w:tc>
        <w:tc>
          <w:tcPr>
            <w:tcW w:w="1134" w:type="dxa"/>
            <w:tcBorders>
              <w:top w:val="single" w:sz="12" w:space="0" w:color="auto"/>
              <w:left w:val="single" w:sz="12" w:space="0" w:color="auto"/>
              <w:bottom w:val="single" w:sz="12" w:space="0" w:color="auto"/>
              <w:right w:val="single" w:sz="12" w:space="0" w:color="auto"/>
            </w:tcBorders>
            <w:shd w:val="clear" w:color="auto" w:fill="FFFF00"/>
            <w:vAlign w:val="center"/>
          </w:tcPr>
          <w:p w:rsidR="00AF2FF5" w:rsidRPr="00B77D2A" w:rsidRDefault="00AF2FF5" w:rsidP="00272469">
            <w:pPr>
              <w:rPr>
                <w:b/>
              </w:rPr>
            </w:pPr>
            <w:r w:rsidRPr="00B77D2A">
              <w:rPr>
                <w:b/>
              </w:rPr>
              <w:t>Seansų skaičius</w:t>
            </w:r>
          </w:p>
        </w:tc>
        <w:tc>
          <w:tcPr>
            <w:tcW w:w="2553" w:type="dxa"/>
            <w:tcBorders>
              <w:top w:val="single" w:sz="12" w:space="0" w:color="auto"/>
              <w:left w:val="single" w:sz="12" w:space="0" w:color="auto"/>
              <w:bottom w:val="single" w:sz="12" w:space="0" w:color="auto"/>
              <w:right w:val="single" w:sz="12" w:space="0" w:color="auto"/>
            </w:tcBorders>
            <w:shd w:val="clear" w:color="auto" w:fill="FFFF00"/>
            <w:vAlign w:val="center"/>
          </w:tcPr>
          <w:p w:rsidR="00AF2FF5" w:rsidRPr="00B77D2A" w:rsidRDefault="00AF2FF5" w:rsidP="00272469">
            <w:pPr>
              <w:rPr>
                <w:b/>
              </w:rPr>
            </w:pPr>
            <w:r>
              <w:rPr>
                <w:b/>
              </w:rPr>
              <w:t>Šalis</w:t>
            </w:r>
          </w:p>
        </w:tc>
        <w:tc>
          <w:tcPr>
            <w:tcW w:w="1134" w:type="dxa"/>
            <w:tcBorders>
              <w:top w:val="single" w:sz="12" w:space="0" w:color="auto"/>
              <w:left w:val="single" w:sz="12" w:space="0" w:color="auto"/>
              <w:bottom w:val="single" w:sz="12" w:space="0" w:color="auto"/>
              <w:right w:val="single" w:sz="12" w:space="0" w:color="auto"/>
            </w:tcBorders>
            <w:shd w:val="clear" w:color="auto" w:fill="FFFF00"/>
            <w:vAlign w:val="center"/>
          </w:tcPr>
          <w:p w:rsidR="00AF2FF5" w:rsidRPr="00B77D2A" w:rsidRDefault="00AF2FF5" w:rsidP="00272469">
            <w:pPr>
              <w:rPr>
                <w:b/>
              </w:rPr>
            </w:pPr>
            <w:r w:rsidRPr="00B77D2A">
              <w:rPr>
                <w:b/>
              </w:rPr>
              <w:t>Seansų skaičius</w:t>
            </w:r>
          </w:p>
        </w:tc>
      </w:tr>
      <w:tr w:rsidR="00AF2FF5" w:rsidRPr="00B77D2A" w:rsidTr="00FB5402">
        <w:trPr>
          <w:jc w:val="center"/>
        </w:trPr>
        <w:tc>
          <w:tcPr>
            <w:tcW w:w="2518" w:type="dxa"/>
            <w:tcBorders>
              <w:top w:val="single" w:sz="12" w:space="0" w:color="auto"/>
              <w:left w:val="single" w:sz="12" w:space="0" w:color="auto"/>
              <w:bottom w:val="single" w:sz="2" w:space="0" w:color="auto"/>
              <w:right w:val="single" w:sz="2" w:space="0" w:color="auto"/>
            </w:tcBorders>
            <w:shd w:val="clear" w:color="auto" w:fill="auto"/>
            <w:vAlign w:val="center"/>
          </w:tcPr>
          <w:p w:rsidR="00AF2FF5" w:rsidRPr="00B77D2A" w:rsidRDefault="00AF2FF5" w:rsidP="00AF2FF5">
            <w:r w:rsidRPr="00B77D2A">
              <w:rPr>
                <w:b/>
              </w:rPr>
              <w:t>1.</w:t>
            </w:r>
            <w:r w:rsidRPr="00B77D2A">
              <w:t xml:space="preserve"> </w:t>
            </w:r>
            <w:r>
              <w:t>Latvija</w:t>
            </w:r>
          </w:p>
        </w:tc>
        <w:tc>
          <w:tcPr>
            <w:tcW w:w="1134" w:type="dxa"/>
            <w:tcBorders>
              <w:top w:val="single" w:sz="12" w:space="0" w:color="auto"/>
              <w:left w:val="single" w:sz="2" w:space="0" w:color="auto"/>
              <w:bottom w:val="single" w:sz="2" w:space="0" w:color="auto"/>
              <w:right w:val="single" w:sz="2" w:space="0" w:color="auto"/>
            </w:tcBorders>
            <w:shd w:val="clear" w:color="auto" w:fill="auto"/>
            <w:vAlign w:val="center"/>
          </w:tcPr>
          <w:p w:rsidR="00AF2FF5" w:rsidRPr="00B77D2A" w:rsidRDefault="00AF2FF5" w:rsidP="00404C77">
            <w:pPr>
              <w:jc w:val="center"/>
            </w:pPr>
            <w:r>
              <w:t>1495</w:t>
            </w:r>
          </w:p>
        </w:tc>
        <w:tc>
          <w:tcPr>
            <w:tcW w:w="2553" w:type="dxa"/>
            <w:tcBorders>
              <w:top w:val="single" w:sz="12" w:space="0" w:color="auto"/>
              <w:left w:val="single" w:sz="12" w:space="0" w:color="auto"/>
            </w:tcBorders>
            <w:shd w:val="clear" w:color="auto" w:fill="auto"/>
            <w:vAlign w:val="center"/>
          </w:tcPr>
          <w:p w:rsidR="00AF2FF5" w:rsidRPr="00B77D2A" w:rsidRDefault="00AF2FF5" w:rsidP="00AF2FF5">
            <w:r>
              <w:rPr>
                <w:b/>
              </w:rPr>
              <w:t>9</w:t>
            </w:r>
            <w:r w:rsidRPr="00B77D2A">
              <w:rPr>
                <w:b/>
              </w:rPr>
              <w:t>.</w:t>
            </w:r>
            <w:r w:rsidRPr="00B77D2A">
              <w:t xml:space="preserve"> </w:t>
            </w:r>
            <w:r w:rsidR="00272469">
              <w:t>Airija</w:t>
            </w:r>
          </w:p>
        </w:tc>
        <w:tc>
          <w:tcPr>
            <w:tcW w:w="1134" w:type="dxa"/>
            <w:tcBorders>
              <w:top w:val="single" w:sz="12" w:space="0" w:color="auto"/>
              <w:right w:val="single" w:sz="12" w:space="0" w:color="auto"/>
            </w:tcBorders>
            <w:shd w:val="clear" w:color="auto" w:fill="auto"/>
            <w:vAlign w:val="center"/>
          </w:tcPr>
          <w:p w:rsidR="00AF2FF5" w:rsidRPr="00B77D2A" w:rsidRDefault="00272469" w:rsidP="00404C77">
            <w:pPr>
              <w:jc w:val="center"/>
            </w:pPr>
            <w:r>
              <w:t>113</w:t>
            </w:r>
          </w:p>
        </w:tc>
      </w:tr>
      <w:tr w:rsidR="00AF2FF5" w:rsidRPr="00B77D2A" w:rsidTr="00FB5402">
        <w:trPr>
          <w:jc w:val="center"/>
        </w:trPr>
        <w:tc>
          <w:tcPr>
            <w:tcW w:w="2518" w:type="dxa"/>
            <w:tcBorders>
              <w:top w:val="single" w:sz="2" w:space="0" w:color="auto"/>
              <w:left w:val="single" w:sz="12" w:space="0" w:color="auto"/>
              <w:bottom w:val="single" w:sz="2" w:space="0" w:color="auto"/>
              <w:right w:val="single" w:sz="2" w:space="0" w:color="auto"/>
            </w:tcBorders>
            <w:shd w:val="clear" w:color="auto" w:fill="auto"/>
            <w:vAlign w:val="center"/>
          </w:tcPr>
          <w:p w:rsidR="00AF2FF5" w:rsidRPr="00B77D2A" w:rsidRDefault="00AF2FF5" w:rsidP="00AF2FF5">
            <w:r w:rsidRPr="00B77D2A">
              <w:rPr>
                <w:b/>
              </w:rPr>
              <w:t>2.</w:t>
            </w:r>
            <w:r w:rsidRPr="00B77D2A">
              <w:t xml:space="preserve"> </w:t>
            </w:r>
            <w:r>
              <w:t>Didžioji Britanija</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AF2FF5" w:rsidRPr="00B77D2A" w:rsidRDefault="00AF2FF5" w:rsidP="00404C77">
            <w:pPr>
              <w:jc w:val="center"/>
            </w:pPr>
            <w:r>
              <w:t>847</w:t>
            </w:r>
          </w:p>
        </w:tc>
        <w:tc>
          <w:tcPr>
            <w:tcW w:w="2553" w:type="dxa"/>
            <w:tcBorders>
              <w:left w:val="single" w:sz="12" w:space="0" w:color="auto"/>
            </w:tcBorders>
            <w:shd w:val="clear" w:color="auto" w:fill="auto"/>
            <w:vAlign w:val="center"/>
          </w:tcPr>
          <w:p w:rsidR="00AF2FF5" w:rsidRPr="00B77D2A" w:rsidRDefault="00AF2FF5" w:rsidP="00AF2FF5">
            <w:r>
              <w:rPr>
                <w:b/>
              </w:rPr>
              <w:t>10</w:t>
            </w:r>
            <w:r w:rsidRPr="00B77D2A">
              <w:rPr>
                <w:b/>
              </w:rPr>
              <w:t>.</w:t>
            </w:r>
            <w:r w:rsidRPr="00B77D2A">
              <w:t xml:space="preserve"> </w:t>
            </w:r>
            <w:r w:rsidR="00272469">
              <w:t>Lenkija</w:t>
            </w:r>
          </w:p>
        </w:tc>
        <w:tc>
          <w:tcPr>
            <w:tcW w:w="1134" w:type="dxa"/>
            <w:tcBorders>
              <w:right w:val="single" w:sz="12" w:space="0" w:color="auto"/>
            </w:tcBorders>
            <w:shd w:val="clear" w:color="auto" w:fill="auto"/>
            <w:vAlign w:val="center"/>
          </w:tcPr>
          <w:p w:rsidR="00AF2FF5" w:rsidRPr="00B77D2A" w:rsidRDefault="00272469" w:rsidP="00404C77">
            <w:pPr>
              <w:jc w:val="center"/>
            </w:pPr>
            <w:r>
              <w:t>92</w:t>
            </w:r>
          </w:p>
        </w:tc>
      </w:tr>
      <w:tr w:rsidR="00AF2FF5" w:rsidRPr="00B77D2A" w:rsidTr="00FB5402">
        <w:trPr>
          <w:jc w:val="center"/>
        </w:trPr>
        <w:tc>
          <w:tcPr>
            <w:tcW w:w="2518" w:type="dxa"/>
            <w:tcBorders>
              <w:top w:val="single" w:sz="2" w:space="0" w:color="auto"/>
              <w:left w:val="single" w:sz="12" w:space="0" w:color="auto"/>
              <w:bottom w:val="single" w:sz="2" w:space="0" w:color="auto"/>
              <w:right w:val="single" w:sz="2" w:space="0" w:color="auto"/>
            </w:tcBorders>
            <w:shd w:val="clear" w:color="auto" w:fill="auto"/>
            <w:vAlign w:val="center"/>
          </w:tcPr>
          <w:p w:rsidR="00AF2FF5" w:rsidRPr="00B77D2A" w:rsidRDefault="00AF2FF5" w:rsidP="00AF2FF5">
            <w:r w:rsidRPr="00B77D2A">
              <w:rPr>
                <w:b/>
              </w:rPr>
              <w:t>3.</w:t>
            </w:r>
            <w:r w:rsidRPr="00B77D2A">
              <w:t xml:space="preserve"> </w:t>
            </w:r>
            <w:r>
              <w:t>JAV</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AF2FF5" w:rsidRPr="00B77D2A" w:rsidRDefault="00AF2FF5" w:rsidP="00404C77">
            <w:pPr>
              <w:jc w:val="center"/>
            </w:pPr>
            <w:r>
              <w:t>651</w:t>
            </w:r>
          </w:p>
        </w:tc>
        <w:tc>
          <w:tcPr>
            <w:tcW w:w="2553" w:type="dxa"/>
            <w:tcBorders>
              <w:left w:val="single" w:sz="12" w:space="0" w:color="auto"/>
            </w:tcBorders>
            <w:shd w:val="clear" w:color="auto" w:fill="auto"/>
            <w:vAlign w:val="center"/>
          </w:tcPr>
          <w:p w:rsidR="00AF2FF5" w:rsidRPr="00B77D2A" w:rsidRDefault="00AF2FF5" w:rsidP="00AF2FF5">
            <w:r>
              <w:rPr>
                <w:b/>
              </w:rPr>
              <w:t>11</w:t>
            </w:r>
            <w:r w:rsidRPr="00B77D2A">
              <w:rPr>
                <w:b/>
              </w:rPr>
              <w:t>.</w:t>
            </w:r>
            <w:r w:rsidRPr="00B77D2A">
              <w:t xml:space="preserve"> </w:t>
            </w:r>
            <w:r w:rsidR="00272469">
              <w:t>Pietų Korėja</w:t>
            </w:r>
          </w:p>
        </w:tc>
        <w:tc>
          <w:tcPr>
            <w:tcW w:w="1134" w:type="dxa"/>
            <w:tcBorders>
              <w:right w:val="single" w:sz="12" w:space="0" w:color="auto"/>
            </w:tcBorders>
            <w:shd w:val="clear" w:color="auto" w:fill="auto"/>
            <w:vAlign w:val="center"/>
          </w:tcPr>
          <w:p w:rsidR="00AF2FF5" w:rsidRPr="00B77D2A" w:rsidRDefault="00272469" w:rsidP="00404C77">
            <w:pPr>
              <w:jc w:val="center"/>
            </w:pPr>
            <w:r>
              <w:t>74</w:t>
            </w:r>
          </w:p>
        </w:tc>
      </w:tr>
      <w:tr w:rsidR="00AF2FF5" w:rsidRPr="00B77D2A" w:rsidTr="00FB5402">
        <w:trPr>
          <w:jc w:val="center"/>
        </w:trPr>
        <w:tc>
          <w:tcPr>
            <w:tcW w:w="2518" w:type="dxa"/>
            <w:tcBorders>
              <w:top w:val="single" w:sz="2" w:space="0" w:color="auto"/>
              <w:left w:val="single" w:sz="12" w:space="0" w:color="auto"/>
              <w:bottom w:val="single" w:sz="2" w:space="0" w:color="auto"/>
              <w:right w:val="single" w:sz="2" w:space="0" w:color="auto"/>
            </w:tcBorders>
            <w:shd w:val="clear" w:color="auto" w:fill="auto"/>
            <w:vAlign w:val="center"/>
          </w:tcPr>
          <w:p w:rsidR="00AF2FF5" w:rsidRPr="00B77D2A" w:rsidRDefault="00AF2FF5" w:rsidP="00AF2FF5">
            <w:r w:rsidRPr="00B77D2A">
              <w:rPr>
                <w:b/>
              </w:rPr>
              <w:t>4.</w:t>
            </w:r>
            <w:r w:rsidRPr="00B77D2A">
              <w:t xml:space="preserve"> </w:t>
            </w:r>
            <w:r>
              <w:t>Norvegija</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AF2FF5" w:rsidRPr="00B77D2A" w:rsidRDefault="00AF2FF5" w:rsidP="00404C77">
            <w:pPr>
              <w:jc w:val="center"/>
            </w:pPr>
            <w:r>
              <w:t>348</w:t>
            </w:r>
          </w:p>
        </w:tc>
        <w:tc>
          <w:tcPr>
            <w:tcW w:w="2553" w:type="dxa"/>
            <w:tcBorders>
              <w:left w:val="single" w:sz="12" w:space="0" w:color="auto"/>
            </w:tcBorders>
            <w:shd w:val="clear" w:color="auto" w:fill="auto"/>
            <w:vAlign w:val="center"/>
          </w:tcPr>
          <w:p w:rsidR="00AF2FF5" w:rsidRPr="00B77D2A" w:rsidRDefault="00AF2FF5" w:rsidP="00AF2FF5">
            <w:r>
              <w:rPr>
                <w:b/>
              </w:rPr>
              <w:t>12</w:t>
            </w:r>
            <w:r w:rsidRPr="00B77D2A">
              <w:rPr>
                <w:b/>
              </w:rPr>
              <w:t>.</w:t>
            </w:r>
            <w:r w:rsidRPr="00B77D2A">
              <w:t xml:space="preserve"> </w:t>
            </w:r>
            <w:r w:rsidR="00272469">
              <w:t>Italija</w:t>
            </w:r>
          </w:p>
        </w:tc>
        <w:tc>
          <w:tcPr>
            <w:tcW w:w="1134" w:type="dxa"/>
            <w:tcBorders>
              <w:right w:val="single" w:sz="12" w:space="0" w:color="auto"/>
            </w:tcBorders>
            <w:shd w:val="clear" w:color="auto" w:fill="auto"/>
            <w:vAlign w:val="center"/>
          </w:tcPr>
          <w:p w:rsidR="00AF2FF5" w:rsidRPr="00B77D2A" w:rsidRDefault="00272469" w:rsidP="00404C77">
            <w:pPr>
              <w:jc w:val="center"/>
            </w:pPr>
            <w:r>
              <w:t>69</w:t>
            </w:r>
          </w:p>
        </w:tc>
      </w:tr>
      <w:tr w:rsidR="00AF2FF5" w:rsidRPr="00B77D2A" w:rsidTr="00FB5402">
        <w:trPr>
          <w:jc w:val="center"/>
        </w:trPr>
        <w:tc>
          <w:tcPr>
            <w:tcW w:w="2518" w:type="dxa"/>
            <w:tcBorders>
              <w:top w:val="single" w:sz="2" w:space="0" w:color="auto"/>
              <w:left w:val="single" w:sz="12" w:space="0" w:color="auto"/>
              <w:bottom w:val="single" w:sz="2" w:space="0" w:color="auto"/>
              <w:right w:val="single" w:sz="2" w:space="0" w:color="auto"/>
            </w:tcBorders>
            <w:shd w:val="clear" w:color="auto" w:fill="auto"/>
            <w:vAlign w:val="center"/>
          </w:tcPr>
          <w:p w:rsidR="00AF2FF5" w:rsidRPr="00B77D2A" w:rsidRDefault="00AF2FF5" w:rsidP="00AF2FF5">
            <w:r w:rsidRPr="00B77D2A">
              <w:rPr>
                <w:b/>
              </w:rPr>
              <w:t>5.</w:t>
            </w:r>
            <w:r w:rsidRPr="00B77D2A">
              <w:t xml:space="preserve"> </w:t>
            </w:r>
            <w:r>
              <w:t>Rusija</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AF2FF5" w:rsidRPr="00B77D2A" w:rsidRDefault="00AF2FF5" w:rsidP="00404C77">
            <w:pPr>
              <w:jc w:val="center"/>
            </w:pPr>
            <w:r>
              <w:t>286</w:t>
            </w:r>
          </w:p>
        </w:tc>
        <w:tc>
          <w:tcPr>
            <w:tcW w:w="2553" w:type="dxa"/>
            <w:tcBorders>
              <w:left w:val="single" w:sz="12" w:space="0" w:color="auto"/>
            </w:tcBorders>
            <w:shd w:val="clear" w:color="auto" w:fill="auto"/>
            <w:vAlign w:val="center"/>
          </w:tcPr>
          <w:p w:rsidR="00AF2FF5" w:rsidRPr="00B77D2A" w:rsidRDefault="00AF2FF5" w:rsidP="00AF2FF5">
            <w:r>
              <w:rPr>
                <w:b/>
              </w:rPr>
              <w:t>13</w:t>
            </w:r>
            <w:r w:rsidRPr="00B77D2A">
              <w:rPr>
                <w:b/>
              </w:rPr>
              <w:t>.</w:t>
            </w:r>
            <w:r w:rsidRPr="00B77D2A">
              <w:t xml:space="preserve"> </w:t>
            </w:r>
            <w:r w:rsidR="00272469">
              <w:t>Suomija</w:t>
            </w:r>
          </w:p>
        </w:tc>
        <w:tc>
          <w:tcPr>
            <w:tcW w:w="1134" w:type="dxa"/>
            <w:tcBorders>
              <w:right w:val="single" w:sz="12" w:space="0" w:color="auto"/>
            </w:tcBorders>
            <w:shd w:val="clear" w:color="auto" w:fill="auto"/>
            <w:vAlign w:val="center"/>
          </w:tcPr>
          <w:p w:rsidR="00AF2FF5" w:rsidRPr="00B77D2A" w:rsidRDefault="00272469" w:rsidP="00404C77">
            <w:pPr>
              <w:jc w:val="center"/>
            </w:pPr>
            <w:r>
              <w:t>64</w:t>
            </w:r>
          </w:p>
        </w:tc>
      </w:tr>
      <w:tr w:rsidR="00AF2FF5" w:rsidRPr="00B77D2A" w:rsidTr="00FB5402">
        <w:trPr>
          <w:jc w:val="center"/>
        </w:trPr>
        <w:tc>
          <w:tcPr>
            <w:tcW w:w="2518" w:type="dxa"/>
            <w:tcBorders>
              <w:top w:val="single" w:sz="2" w:space="0" w:color="auto"/>
              <w:left w:val="single" w:sz="12" w:space="0" w:color="auto"/>
              <w:bottom w:val="single" w:sz="2" w:space="0" w:color="auto"/>
              <w:right w:val="single" w:sz="2" w:space="0" w:color="auto"/>
            </w:tcBorders>
            <w:shd w:val="clear" w:color="auto" w:fill="auto"/>
            <w:vAlign w:val="center"/>
          </w:tcPr>
          <w:p w:rsidR="00AF2FF5" w:rsidRPr="00B77D2A" w:rsidRDefault="00AF2FF5" w:rsidP="00AF2FF5">
            <w:r w:rsidRPr="00B77D2A">
              <w:rPr>
                <w:b/>
              </w:rPr>
              <w:t>6.</w:t>
            </w:r>
            <w:r w:rsidRPr="00B77D2A">
              <w:t xml:space="preserve"> </w:t>
            </w:r>
            <w:r>
              <w:t>Vokietija</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AF2FF5" w:rsidRPr="00B77D2A" w:rsidRDefault="00AF2FF5" w:rsidP="00AF2FF5">
            <w:pPr>
              <w:jc w:val="center"/>
            </w:pPr>
            <w:r>
              <w:t>262</w:t>
            </w:r>
          </w:p>
        </w:tc>
        <w:tc>
          <w:tcPr>
            <w:tcW w:w="2553" w:type="dxa"/>
            <w:tcBorders>
              <w:left w:val="single" w:sz="12" w:space="0" w:color="auto"/>
            </w:tcBorders>
            <w:shd w:val="clear" w:color="auto" w:fill="auto"/>
            <w:vAlign w:val="center"/>
          </w:tcPr>
          <w:p w:rsidR="00AF2FF5" w:rsidRPr="00B77D2A" w:rsidRDefault="00AF2FF5" w:rsidP="00AF2FF5">
            <w:r>
              <w:rPr>
                <w:b/>
              </w:rPr>
              <w:t>14</w:t>
            </w:r>
            <w:r w:rsidRPr="00B77D2A">
              <w:rPr>
                <w:b/>
              </w:rPr>
              <w:t>.</w:t>
            </w:r>
            <w:r w:rsidRPr="00B77D2A">
              <w:t xml:space="preserve"> </w:t>
            </w:r>
            <w:r w:rsidR="00272469">
              <w:t>Prancūzija</w:t>
            </w:r>
          </w:p>
        </w:tc>
        <w:tc>
          <w:tcPr>
            <w:tcW w:w="1134" w:type="dxa"/>
            <w:tcBorders>
              <w:right w:val="single" w:sz="12" w:space="0" w:color="auto"/>
            </w:tcBorders>
            <w:shd w:val="clear" w:color="auto" w:fill="auto"/>
            <w:vAlign w:val="center"/>
          </w:tcPr>
          <w:p w:rsidR="00AF2FF5" w:rsidRPr="00B77D2A" w:rsidRDefault="00272469" w:rsidP="00404C77">
            <w:pPr>
              <w:jc w:val="center"/>
            </w:pPr>
            <w:r>
              <w:t>63</w:t>
            </w:r>
          </w:p>
        </w:tc>
      </w:tr>
      <w:tr w:rsidR="00AF2FF5" w:rsidRPr="00B77D2A" w:rsidTr="00FB5402">
        <w:trPr>
          <w:jc w:val="center"/>
        </w:trPr>
        <w:tc>
          <w:tcPr>
            <w:tcW w:w="2518" w:type="dxa"/>
            <w:tcBorders>
              <w:top w:val="single" w:sz="2" w:space="0" w:color="auto"/>
              <w:left w:val="single" w:sz="12" w:space="0" w:color="auto"/>
              <w:bottom w:val="single" w:sz="2" w:space="0" w:color="auto"/>
              <w:right w:val="single" w:sz="2" w:space="0" w:color="auto"/>
            </w:tcBorders>
            <w:shd w:val="clear" w:color="auto" w:fill="auto"/>
            <w:vAlign w:val="center"/>
          </w:tcPr>
          <w:p w:rsidR="00AF2FF5" w:rsidRPr="00B77D2A" w:rsidRDefault="00AF2FF5" w:rsidP="00AF2FF5">
            <w:pPr>
              <w:rPr>
                <w:b/>
              </w:rPr>
            </w:pPr>
            <w:r>
              <w:rPr>
                <w:b/>
              </w:rPr>
              <w:t>7.</w:t>
            </w:r>
            <w:r w:rsidR="00272469">
              <w:t xml:space="preserve"> Danija</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AF2FF5" w:rsidRPr="00B77D2A" w:rsidRDefault="00272469" w:rsidP="00AF2FF5">
            <w:pPr>
              <w:jc w:val="center"/>
            </w:pPr>
            <w:r>
              <w:t>127</w:t>
            </w:r>
          </w:p>
        </w:tc>
        <w:tc>
          <w:tcPr>
            <w:tcW w:w="2553" w:type="dxa"/>
            <w:tcBorders>
              <w:left w:val="single" w:sz="12" w:space="0" w:color="auto"/>
            </w:tcBorders>
            <w:shd w:val="clear" w:color="auto" w:fill="auto"/>
            <w:vAlign w:val="center"/>
          </w:tcPr>
          <w:p w:rsidR="00AF2FF5" w:rsidRDefault="00AF2FF5" w:rsidP="00AF2FF5">
            <w:pPr>
              <w:rPr>
                <w:b/>
              </w:rPr>
            </w:pPr>
            <w:r>
              <w:rPr>
                <w:b/>
              </w:rPr>
              <w:t>15.</w:t>
            </w:r>
            <w:r w:rsidR="00272469">
              <w:t xml:space="preserve"> Ispanija</w:t>
            </w:r>
          </w:p>
        </w:tc>
        <w:tc>
          <w:tcPr>
            <w:tcW w:w="1134" w:type="dxa"/>
            <w:tcBorders>
              <w:right w:val="single" w:sz="12" w:space="0" w:color="auto"/>
            </w:tcBorders>
            <w:shd w:val="clear" w:color="auto" w:fill="auto"/>
            <w:vAlign w:val="center"/>
          </w:tcPr>
          <w:p w:rsidR="00AF2FF5" w:rsidRPr="00B77D2A" w:rsidRDefault="00272469" w:rsidP="00404C77">
            <w:pPr>
              <w:jc w:val="center"/>
            </w:pPr>
            <w:r>
              <w:t>55</w:t>
            </w:r>
          </w:p>
        </w:tc>
      </w:tr>
      <w:tr w:rsidR="00AF2FF5" w:rsidRPr="00B77D2A" w:rsidTr="00FB5402">
        <w:trPr>
          <w:jc w:val="center"/>
        </w:trPr>
        <w:tc>
          <w:tcPr>
            <w:tcW w:w="2518" w:type="dxa"/>
            <w:tcBorders>
              <w:top w:val="single" w:sz="2" w:space="0" w:color="auto"/>
              <w:left w:val="single" w:sz="12" w:space="0" w:color="auto"/>
              <w:bottom w:val="single" w:sz="12" w:space="0" w:color="auto"/>
              <w:right w:val="single" w:sz="2" w:space="0" w:color="auto"/>
            </w:tcBorders>
            <w:shd w:val="clear" w:color="auto" w:fill="auto"/>
            <w:vAlign w:val="center"/>
          </w:tcPr>
          <w:p w:rsidR="00AF2FF5" w:rsidRPr="00B77D2A" w:rsidRDefault="00AF2FF5" w:rsidP="00AF2FF5">
            <w:r>
              <w:rPr>
                <w:b/>
              </w:rPr>
              <w:t>8</w:t>
            </w:r>
            <w:r w:rsidRPr="00B77D2A">
              <w:rPr>
                <w:b/>
              </w:rPr>
              <w:t>.</w:t>
            </w:r>
            <w:r w:rsidRPr="00B77D2A">
              <w:t xml:space="preserve"> </w:t>
            </w:r>
            <w:r w:rsidR="00272469">
              <w:t>Švedija</w:t>
            </w:r>
          </w:p>
        </w:tc>
        <w:tc>
          <w:tcPr>
            <w:tcW w:w="1134" w:type="dxa"/>
            <w:tcBorders>
              <w:top w:val="single" w:sz="2" w:space="0" w:color="auto"/>
              <w:left w:val="single" w:sz="2" w:space="0" w:color="auto"/>
              <w:bottom w:val="single" w:sz="12" w:space="0" w:color="auto"/>
              <w:right w:val="single" w:sz="2" w:space="0" w:color="auto"/>
            </w:tcBorders>
            <w:shd w:val="clear" w:color="auto" w:fill="auto"/>
            <w:vAlign w:val="center"/>
          </w:tcPr>
          <w:p w:rsidR="00AF2FF5" w:rsidRPr="00B77D2A" w:rsidRDefault="00272469" w:rsidP="00404C77">
            <w:pPr>
              <w:jc w:val="center"/>
            </w:pPr>
            <w:r>
              <w:t>122</w:t>
            </w:r>
          </w:p>
        </w:tc>
        <w:tc>
          <w:tcPr>
            <w:tcW w:w="2553" w:type="dxa"/>
            <w:tcBorders>
              <w:left w:val="single" w:sz="12" w:space="0" w:color="auto"/>
              <w:bottom w:val="single" w:sz="12" w:space="0" w:color="auto"/>
            </w:tcBorders>
            <w:shd w:val="clear" w:color="auto" w:fill="auto"/>
            <w:vAlign w:val="center"/>
          </w:tcPr>
          <w:p w:rsidR="00AF2FF5" w:rsidRPr="00B77D2A" w:rsidRDefault="00AF2FF5" w:rsidP="00AF2FF5">
            <w:r>
              <w:rPr>
                <w:b/>
              </w:rPr>
              <w:t>16</w:t>
            </w:r>
            <w:r w:rsidRPr="00B77D2A">
              <w:rPr>
                <w:b/>
              </w:rPr>
              <w:t>.</w:t>
            </w:r>
            <w:r w:rsidRPr="00B77D2A">
              <w:t xml:space="preserve"> </w:t>
            </w:r>
            <w:r w:rsidR="00272469">
              <w:t>Estija</w:t>
            </w:r>
          </w:p>
        </w:tc>
        <w:tc>
          <w:tcPr>
            <w:tcW w:w="1134" w:type="dxa"/>
            <w:tcBorders>
              <w:bottom w:val="single" w:sz="12" w:space="0" w:color="auto"/>
              <w:right w:val="single" w:sz="12" w:space="0" w:color="auto"/>
            </w:tcBorders>
            <w:shd w:val="clear" w:color="auto" w:fill="auto"/>
            <w:vAlign w:val="center"/>
          </w:tcPr>
          <w:p w:rsidR="00AF2FF5" w:rsidRPr="00B77D2A" w:rsidRDefault="00272469" w:rsidP="00404C77">
            <w:pPr>
              <w:jc w:val="center"/>
            </w:pPr>
            <w:r>
              <w:t>53</w:t>
            </w:r>
          </w:p>
        </w:tc>
      </w:tr>
    </w:tbl>
    <w:p w:rsidR="00707B63" w:rsidRDefault="00707B63" w:rsidP="00022E9D"/>
    <w:p w:rsidR="00B77D2A" w:rsidRPr="00B77D2A" w:rsidRDefault="00B77D2A" w:rsidP="00B77D2A">
      <w:pPr>
        <w:ind w:firstLine="1296"/>
        <w:jc w:val="both"/>
      </w:pPr>
      <w:r w:rsidRPr="00B77D2A">
        <w:t>Utenos turizmo informacijos centro internetinėje svetainėje yra pateikiama įvairi informacij</w:t>
      </w:r>
      <w:r w:rsidR="00BB37E8">
        <w:t>a</w:t>
      </w:r>
      <w:r w:rsidRPr="00B77D2A">
        <w:t>, kuri yra aktuali turistams, t.y. informacija su aprašymais yra patalpinta</w:t>
      </w:r>
      <w:r w:rsidR="00BB37E8">
        <w:t xml:space="preserve"> į šiuos pagrindinius skyrius: „L</w:t>
      </w:r>
      <w:r w:rsidRPr="00B77D2A">
        <w:t>ankytinos vietos</w:t>
      </w:r>
      <w:r w:rsidR="00BB37E8">
        <w:t>“,</w:t>
      </w:r>
      <w:r w:rsidRPr="00B77D2A">
        <w:t xml:space="preserve"> </w:t>
      </w:r>
      <w:r w:rsidR="00BB37E8">
        <w:t xml:space="preserve">„Ką </w:t>
      </w:r>
      <w:proofErr w:type="spellStart"/>
      <w:r w:rsidR="00BB37E8">
        <w:t>vekti</w:t>
      </w:r>
      <w:proofErr w:type="spellEnd"/>
      <w:r w:rsidR="00BB37E8">
        <w:t>?“ (informacija apie pramogas, edukacines programas, renginius, turistiniai maršrutai), „Nakvynė“, „Maitinimas“, „Ekskursijos“, „Utenos TIC“ (kontaktai, veikla, naujienos).</w:t>
      </w:r>
      <w:r w:rsidRPr="00B77D2A">
        <w:t xml:space="preserve"> Natūralu, kad jungdamiesi prie svetainės, asmenys ieško skirtingos, kiekvienam aktualios informacijos. </w:t>
      </w:r>
    </w:p>
    <w:p w:rsidR="00B77D2A" w:rsidRPr="00B77D2A" w:rsidRDefault="00B77D2A" w:rsidP="00B77D2A">
      <w:pPr>
        <w:jc w:val="both"/>
      </w:pPr>
    </w:p>
    <w:p w:rsidR="00B77D2A" w:rsidRPr="00B77D2A" w:rsidRDefault="00BB37E8" w:rsidP="00B77D2A">
      <w:pPr>
        <w:jc w:val="center"/>
      </w:pPr>
      <w:r>
        <w:rPr>
          <w:b/>
        </w:rPr>
        <w:t>2</w:t>
      </w:r>
      <w:r w:rsidR="00B77D2A" w:rsidRPr="00B77D2A">
        <w:rPr>
          <w:b/>
        </w:rPr>
        <w:t xml:space="preserve"> lentelė.</w:t>
      </w:r>
      <w:r w:rsidR="00B77D2A" w:rsidRPr="00B77D2A">
        <w:t xml:space="preserve"> Populiariausi svetainės </w:t>
      </w:r>
      <w:hyperlink r:id="rId18" w:history="1">
        <w:r w:rsidR="00B77D2A" w:rsidRPr="00B77D2A">
          <w:t>www.utenainfo.lt</w:t>
        </w:r>
      </w:hyperlink>
      <w:r w:rsidR="00B77D2A">
        <w:t xml:space="preserve"> vidiniai puslapiai 2019</w:t>
      </w:r>
      <w:r w:rsidR="00B77D2A" w:rsidRPr="00B77D2A">
        <w:t xml:space="preserve"> 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134"/>
        <w:gridCol w:w="1274"/>
        <w:gridCol w:w="2553"/>
        <w:gridCol w:w="1134"/>
        <w:gridCol w:w="1241"/>
      </w:tblGrid>
      <w:tr w:rsidR="00B77D2A" w:rsidRPr="00B77D2A" w:rsidTr="00B9072D">
        <w:tc>
          <w:tcPr>
            <w:tcW w:w="2518" w:type="dxa"/>
            <w:tcBorders>
              <w:top w:val="single" w:sz="12" w:space="0" w:color="auto"/>
              <w:left w:val="single" w:sz="12" w:space="0" w:color="auto"/>
              <w:bottom w:val="single" w:sz="12" w:space="0" w:color="auto"/>
              <w:right w:val="single" w:sz="12" w:space="0" w:color="auto"/>
            </w:tcBorders>
            <w:shd w:val="clear" w:color="auto" w:fill="FFFF00"/>
          </w:tcPr>
          <w:p w:rsidR="00B77D2A" w:rsidRPr="00B77D2A" w:rsidRDefault="00B77D2A" w:rsidP="00B77D2A">
            <w:pPr>
              <w:rPr>
                <w:b/>
              </w:rPr>
            </w:pPr>
            <w:r w:rsidRPr="00B77D2A">
              <w:rPr>
                <w:b/>
              </w:rPr>
              <w:t>Vidinio puslapio pavadinimas</w:t>
            </w:r>
          </w:p>
        </w:tc>
        <w:tc>
          <w:tcPr>
            <w:tcW w:w="1134" w:type="dxa"/>
            <w:tcBorders>
              <w:top w:val="single" w:sz="12" w:space="0" w:color="auto"/>
              <w:left w:val="single" w:sz="12" w:space="0" w:color="auto"/>
              <w:bottom w:val="single" w:sz="12" w:space="0" w:color="auto"/>
              <w:right w:val="single" w:sz="12" w:space="0" w:color="auto"/>
            </w:tcBorders>
            <w:shd w:val="clear" w:color="auto" w:fill="FFFF00"/>
          </w:tcPr>
          <w:p w:rsidR="00B77D2A" w:rsidRPr="00B77D2A" w:rsidRDefault="00B77D2A" w:rsidP="00B77D2A">
            <w:pPr>
              <w:jc w:val="both"/>
              <w:rPr>
                <w:b/>
              </w:rPr>
            </w:pPr>
            <w:r w:rsidRPr="00B77D2A">
              <w:rPr>
                <w:b/>
              </w:rPr>
              <w:t>Seansų skaičius</w:t>
            </w:r>
          </w:p>
        </w:tc>
        <w:tc>
          <w:tcPr>
            <w:tcW w:w="1274" w:type="dxa"/>
            <w:tcBorders>
              <w:top w:val="single" w:sz="12" w:space="0" w:color="auto"/>
              <w:left w:val="single" w:sz="12" w:space="0" w:color="auto"/>
              <w:bottom w:val="single" w:sz="12" w:space="0" w:color="auto"/>
              <w:right w:val="single" w:sz="12" w:space="0" w:color="auto"/>
            </w:tcBorders>
            <w:shd w:val="clear" w:color="auto" w:fill="FFFF00"/>
          </w:tcPr>
          <w:p w:rsidR="00B77D2A" w:rsidRPr="00B77D2A" w:rsidRDefault="00B77D2A" w:rsidP="00B77D2A">
            <w:pPr>
              <w:jc w:val="both"/>
              <w:rPr>
                <w:b/>
              </w:rPr>
            </w:pPr>
            <w:r w:rsidRPr="00B77D2A">
              <w:rPr>
                <w:b/>
              </w:rPr>
              <w:t>Procentai</w:t>
            </w:r>
          </w:p>
        </w:tc>
        <w:tc>
          <w:tcPr>
            <w:tcW w:w="2553" w:type="dxa"/>
            <w:tcBorders>
              <w:top w:val="single" w:sz="12" w:space="0" w:color="auto"/>
              <w:left w:val="single" w:sz="12" w:space="0" w:color="auto"/>
              <w:bottom w:val="single" w:sz="12" w:space="0" w:color="auto"/>
              <w:right w:val="single" w:sz="12" w:space="0" w:color="auto"/>
            </w:tcBorders>
            <w:shd w:val="clear" w:color="auto" w:fill="FFFF00"/>
          </w:tcPr>
          <w:p w:rsidR="00B77D2A" w:rsidRPr="00B77D2A" w:rsidRDefault="00B77D2A" w:rsidP="00B77D2A">
            <w:pPr>
              <w:rPr>
                <w:b/>
              </w:rPr>
            </w:pPr>
            <w:r w:rsidRPr="00B77D2A">
              <w:rPr>
                <w:b/>
              </w:rPr>
              <w:t>Vidinio puslapio pavadinimas</w:t>
            </w:r>
          </w:p>
        </w:tc>
        <w:tc>
          <w:tcPr>
            <w:tcW w:w="1134" w:type="dxa"/>
            <w:tcBorders>
              <w:top w:val="single" w:sz="12" w:space="0" w:color="auto"/>
              <w:left w:val="single" w:sz="12" w:space="0" w:color="auto"/>
              <w:bottom w:val="single" w:sz="12" w:space="0" w:color="auto"/>
              <w:right w:val="single" w:sz="12" w:space="0" w:color="auto"/>
            </w:tcBorders>
            <w:shd w:val="clear" w:color="auto" w:fill="FFFF00"/>
          </w:tcPr>
          <w:p w:rsidR="00B77D2A" w:rsidRPr="00B77D2A" w:rsidRDefault="00B77D2A" w:rsidP="00B77D2A">
            <w:pPr>
              <w:jc w:val="both"/>
              <w:rPr>
                <w:b/>
              </w:rPr>
            </w:pPr>
            <w:r w:rsidRPr="00B77D2A">
              <w:rPr>
                <w:b/>
              </w:rPr>
              <w:t>Seansų skaičius</w:t>
            </w:r>
          </w:p>
        </w:tc>
        <w:tc>
          <w:tcPr>
            <w:tcW w:w="1241" w:type="dxa"/>
            <w:tcBorders>
              <w:top w:val="single" w:sz="12" w:space="0" w:color="auto"/>
              <w:left w:val="single" w:sz="12" w:space="0" w:color="auto"/>
              <w:bottom w:val="single" w:sz="12" w:space="0" w:color="auto"/>
              <w:right w:val="single" w:sz="12" w:space="0" w:color="auto"/>
            </w:tcBorders>
            <w:shd w:val="clear" w:color="auto" w:fill="FFFF00"/>
          </w:tcPr>
          <w:p w:rsidR="00B77D2A" w:rsidRPr="00B77D2A" w:rsidRDefault="00B77D2A" w:rsidP="00B77D2A">
            <w:pPr>
              <w:jc w:val="both"/>
              <w:rPr>
                <w:b/>
              </w:rPr>
            </w:pPr>
            <w:r w:rsidRPr="00B77D2A">
              <w:rPr>
                <w:b/>
              </w:rPr>
              <w:t xml:space="preserve">Procentai </w:t>
            </w:r>
          </w:p>
        </w:tc>
      </w:tr>
      <w:tr w:rsidR="00B77D2A" w:rsidRPr="00B77D2A" w:rsidTr="00B9072D">
        <w:tc>
          <w:tcPr>
            <w:tcW w:w="2518" w:type="dxa"/>
            <w:tcBorders>
              <w:top w:val="single" w:sz="12" w:space="0" w:color="auto"/>
              <w:left w:val="single" w:sz="12" w:space="0" w:color="auto"/>
              <w:bottom w:val="single" w:sz="2" w:space="0" w:color="auto"/>
              <w:right w:val="single" w:sz="2" w:space="0" w:color="auto"/>
            </w:tcBorders>
            <w:shd w:val="clear" w:color="auto" w:fill="auto"/>
            <w:vAlign w:val="center"/>
          </w:tcPr>
          <w:p w:rsidR="00B77D2A" w:rsidRPr="00B77D2A" w:rsidRDefault="00B77D2A" w:rsidP="00B77D2A">
            <w:r w:rsidRPr="00B77D2A">
              <w:rPr>
                <w:b/>
              </w:rPr>
              <w:t>1.</w:t>
            </w:r>
            <w:r w:rsidRPr="00B77D2A">
              <w:t xml:space="preserve"> Ekskursijų sąrašas</w:t>
            </w:r>
          </w:p>
        </w:tc>
        <w:tc>
          <w:tcPr>
            <w:tcW w:w="1134" w:type="dxa"/>
            <w:tcBorders>
              <w:top w:val="single" w:sz="12" w:space="0" w:color="auto"/>
              <w:left w:val="single" w:sz="2" w:space="0" w:color="auto"/>
              <w:bottom w:val="single" w:sz="2" w:space="0" w:color="auto"/>
              <w:right w:val="single" w:sz="2" w:space="0" w:color="auto"/>
            </w:tcBorders>
            <w:shd w:val="clear" w:color="auto" w:fill="auto"/>
            <w:vAlign w:val="center"/>
          </w:tcPr>
          <w:p w:rsidR="00B77D2A" w:rsidRPr="00B77D2A" w:rsidRDefault="00B77D2A" w:rsidP="00B77D2A">
            <w:pPr>
              <w:jc w:val="center"/>
            </w:pPr>
            <w:r>
              <w:t>18270</w:t>
            </w:r>
          </w:p>
        </w:tc>
        <w:tc>
          <w:tcPr>
            <w:tcW w:w="1274" w:type="dxa"/>
            <w:tcBorders>
              <w:top w:val="single" w:sz="12" w:space="0" w:color="auto"/>
              <w:left w:val="single" w:sz="2" w:space="0" w:color="auto"/>
              <w:bottom w:val="single" w:sz="2" w:space="0" w:color="auto"/>
              <w:right w:val="single" w:sz="12" w:space="0" w:color="auto"/>
            </w:tcBorders>
            <w:shd w:val="clear" w:color="auto" w:fill="auto"/>
            <w:vAlign w:val="center"/>
          </w:tcPr>
          <w:p w:rsidR="00B77D2A" w:rsidRPr="00B77D2A" w:rsidRDefault="00B77D2A" w:rsidP="00B77D2A">
            <w:pPr>
              <w:jc w:val="center"/>
              <w:rPr>
                <w:b/>
              </w:rPr>
            </w:pPr>
            <w:r>
              <w:rPr>
                <w:b/>
              </w:rPr>
              <w:t xml:space="preserve">19 </w:t>
            </w:r>
            <w:r w:rsidRPr="00B77D2A">
              <w:rPr>
                <w:b/>
              </w:rPr>
              <w:t>%</w:t>
            </w:r>
          </w:p>
        </w:tc>
        <w:tc>
          <w:tcPr>
            <w:tcW w:w="2553" w:type="dxa"/>
            <w:tcBorders>
              <w:top w:val="single" w:sz="12" w:space="0" w:color="auto"/>
              <w:left w:val="single" w:sz="12" w:space="0" w:color="auto"/>
            </w:tcBorders>
            <w:shd w:val="clear" w:color="auto" w:fill="auto"/>
            <w:vAlign w:val="center"/>
          </w:tcPr>
          <w:p w:rsidR="00B77D2A" w:rsidRPr="00B77D2A" w:rsidRDefault="00B77D2A" w:rsidP="00B77D2A">
            <w:r>
              <w:rPr>
                <w:b/>
              </w:rPr>
              <w:t>8</w:t>
            </w:r>
            <w:r w:rsidRPr="00B77D2A">
              <w:rPr>
                <w:b/>
              </w:rPr>
              <w:t>.</w:t>
            </w:r>
            <w:r w:rsidRPr="00B77D2A">
              <w:t xml:space="preserve"> Utenos baseinas</w:t>
            </w:r>
          </w:p>
        </w:tc>
        <w:tc>
          <w:tcPr>
            <w:tcW w:w="1134" w:type="dxa"/>
            <w:tcBorders>
              <w:top w:val="single" w:sz="12" w:space="0" w:color="auto"/>
            </w:tcBorders>
            <w:shd w:val="clear" w:color="auto" w:fill="auto"/>
            <w:vAlign w:val="center"/>
          </w:tcPr>
          <w:p w:rsidR="00B77D2A" w:rsidRPr="00B77D2A" w:rsidRDefault="00B77D2A" w:rsidP="00B77D2A">
            <w:pPr>
              <w:jc w:val="center"/>
            </w:pPr>
            <w:r>
              <w:t>1151</w:t>
            </w:r>
          </w:p>
        </w:tc>
        <w:tc>
          <w:tcPr>
            <w:tcW w:w="1241" w:type="dxa"/>
            <w:tcBorders>
              <w:top w:val="single" w:sz="12" w:space="0" w:color="auto"/>
              <w:right w:val="single" w:sz="12" w:space="0" w:color="auto"/>
            </w:tcBorders>
            <w:shd w:val="clear" w:color="auto" w:fill="auto"/>
            <w:vAlign w:val="center"/>
          </w:tcPr>
          <w:p w:rsidR="00B77D2A" w:rsidRPr="00B77D2A" w:rsidRDefault="00485891" w:rsidP="00B77D2A">
            <w:pPr>
              <w:jc w:val="center"/>
              <w:rPr>
                <w:b/>
              </w:rPr>
            </w:pPr>
            <w:r>
              <w:rPr>
                <w:b/>
              </w:rPr>
              <w:t xml:space="preserve">1 </w:t>
            </w:r>
            <w:r w:rsidR="00B77D2A" w:rsidRPr="00B77D2A">
              <w:rPr>
                <w:b/>
              </w:rPr>
              <w:t>%</w:t>
            </w:r>
          </w:p>
        </w:tc>
      </w:tr>
      <w:tr w:rsidR="00B77D2A" w:rsidRPr="00B77D2A" w:rsidTr="00B9072D">
        <w:tc>
          <w:tcPr>
            <w:tcW w:w="2518" w:type="dxa"/>
            <w:tcBorders>
              <w:top w:val="single" w:sz="2" w:space="0" w:color="auto"/>
              <w:left w:val="single" w:sz="12" w:space="0" w:color="auto"/>
              <w:bottom w:val="single" w:sz="2" w:space="0" w:color="auto"/>
              <w:right w:val="single" w:sz="2" w:space="0" w:color="auto"/>
            </w:tcBorders>
            <w:shd w:val="clear" w:color="auto" w:fill="auto"/>
            <w:vAlign w:val="center"/>
          </w:tcPr>
          <w:p w:rsidR="00B77D2A" w:rsidRPr="00B77D2A" w:rsidRDefault="00B77D2A" w:rsidP="00B77D2A">
            <w:r w:rsidRPr="00B77D2A">
              <w:rPr>
                <w:b/>
              </w:rPr>
              <w:t>2.</w:t>
            </w:r>
            <w:r w:rsidRPr="00B77D2A">
              <w:t xml:space="preserve"> </w:t>
            </w:r>
            <w:r>
              <w:t>Renginiai</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B77D2A" w:rsidRPr="00B77D2A" w:rsidRDefault="00B77D2A" w:rsidP="00B77D2A">
            <w:pPr>
              <w:jc w:val="center"/>
            </w:pPr>
            <w:r>
              <w:t>11737</w:t>
            </w:r>
          </w:p>
        </w:tc>
        <w:tc>
          <w:tcPr>
            <w:tcW w:w="1274" w:type="dxa"/>
            <w:tcBorders>
              <w:top w:val="single" w:sz="2" w:space="0" w:color="auto"/>
              <w:left w:val="single" w:sz="2" w:space="0" w:color="auto"/>
              <w:bottom w:val="single" w:sz="2" w:space="0" w:color="auto"/>
              <w:right w:val="single" w:sz="12" w:space="0" w:color="auto"/>
            </w:tcBorders>
            <w:shd w:val="clear" w:color="auto" w:fill="auto"/>
            <w:vAlign w:val="center"/>
          </w:tcPr>
          <w:p w:rsidR="00B77D2A" w:rsidRPr="00B77D2A" w:rsidRDefault="00485891" w:rsidP="00B77D2A">
            <w:pPr>
              <w:jc w:val="center"/>
              <w:rPr>
                <w:b/>
              </w:rPr>
            </w:pPr>
            <w:r>
              <w:rPr>
                <w:b/>
              </w:rPr>
              <w:t xml:space="preserve">12 </w:t>
            </w:r>
            <w:r w:rsidR="00B77D2A" w:rsidRPr="00B77D2A">
              <w:rPr>
                <w:b/>
              </w:rPr>
              <w:t>%</w:t>
            </w:r>
          </w:p>
        </w:tc>
        <w:tc>
          <w:tcPr>
            <w:tcW w:w="2553" w:type="dxa"/>
            <w:tcBorders>
              <w:left w:val="single" w:sz="12" w:space="0" w:color="auto"/>
            </w:tcBorders>
            <w:shd w:val="clear" w:color="auto" w:fill="auto"/>
            <w:vAlign w:val="center"/>
          </w:tcPr>
          <w:p w:rsidR="00B77D2A" w:rsidRPr="00B77D2A" w:rsidRDefault="00B77D2A" w:rsidP="00B77D2A">
            <w:r>
              <w:rPr>
                <w:b/>
              </w:rPr>
              <w:t>9</w:t>
            </w:r>
            <w:r w:rsidRPr="00B77D2A">
              <w:rPr>
                <w:b/>
              </w:rPr>
              <w:t>.</w:t>
            </w:r>
            <w:r w:rsidRPr="00B77D2A">
              <w:t xml:space="preserve"> Kino namai</w:t>
            </w:r>
          </w:p>
        </w:tc>
        <w:tc>
          <w:tcPr>
            <w:tcW w:w="1134" w:type="dxa"/>
            <w:shd w:val="clear" w:color="auto" w:fill="auto"/>
            <w:vAlign w:val="center"/>
          </w:tcPr>
          <w:p w:rsidR="00B77D2A" w:rsidRPr="00B77D2A" w:rsidRDefault="00B77D2A" w:rsidP="00B77D2A">
            <w:pPr>
              <w:jc w:val="center"/>
            </w:pPr>
            <w:r>
              <w:t>1007</w:t>
            </w:r>
          </w:p>
        </w:tc>
        <w:tc>
          <w:tcPr>
            <w:tcW w:w="1241" w:type="dxa"/>
            <w:tcBorders>
              <w:right w:val="single" w:sz="12" w:space="0" w:color="auto"/>
            </w:tcBorders>
            <w:shd w:val="clear" w:color="auto" w:fill="auto"/>
            <w:vAlign w:val="center"/>
          </w:tcPr>
          <w:p w:rsidR="00B77D2A" w:rsidRPr="00B77D2A" w:rsidRDefault="00485891" w:rsidP="00B77D2A">
            <w:pPr>
              <w:jc w:val="center"/>
              <w:rPr>
                <w:b/>
              </w:rPr>
            </w:pPr>
            <w:r>
              <w:rPr>
                <w:b/>
              </w:rPr>
              <w:t xml:space="preserve">1 </w:t>
            </w:r>
            <w:r w:rsidR="00B77D2A" w:rsidRPr="00B77D2A">
              <w:rPr>
                <w:b/>
              </w:rPr>
              <w:t>%</w:t>
            </w:r>
          </w:p>
        </w:tc>
      </w:tr>
      <w:tr w:rsidR="00B77D2A" w:rsidRPr="00B77D2A" w:rsidTr="00B9072D">
        <w:tc>
          <w:tcPr>
            <w:tcW w:w="2518" w:type="dxa"/>
            <w:tcBorders>
              <w:top w:val="single" w:sz="2" w:space="0" w:color="auto"/>
              <w:left w:val="single" w:sz="12" w:space="0" w:color="auto"/>
              <w:bottom w:val="single" w:sz="2" w:space="0" w:color="auto"/>
              <w:right w:val="single" w:sz="2" w:space="0" w:color="auto"/>
            </w:tcBorders>
            <w:shd w:val="clear" w:color="auto" w:fill="auto"/>
            <w:vAlign w:val="center"/>
          </w:tcPr>
          <w:p w:rsidR="00B77D2A" w:rsidRPr="00B77D2A" w:rsidRDefault="00B77D2A" w:rsidP="00B77D2A">
            <w:r w:rsidRPr="00B77D2A">
              <w:rPr>
                <w:b/>
              </w:rPr>
              <w:t>3.</w:t>
            </w:r>
            <w:r w:rsidRPr="00B77D2A">
              <w:t xml:space="preserve"> Pradinis puslapis lietuvių kalba</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B77D2A" w:rsidRPr="00B77D2A" w:rsidRDefault="00B77D2A" w:rsidP="00B77D2A">
            <w:pPr>
              <w:jc w:val="center"/>
            </w:pPr>
            <w:r>
              <w:t>10571</w:t>
            </w:r>
          </w:p>
        </w:tc>
        <w:tc>
          <w:tcPr>
            <w:tcW w:w="1274" w:type="dxa"/>
            <w:tcBorders>
              <w:top w:val="single" w:sz="2" w:space="0" w:color="auto"/>
              <w:left w:val="single" w:sz="2" w:space="0" w:color="auto"/>
              <w:bottom w:val="single" w:sz="2" w:space="0" w:color="auto"/>
              <w:right w:val="single" w:sz="12" w:space="0" w:color="auto"/>
            </w:tcBorders>
            <w:shd w:val="clear" w:color="auto" w:fill="auto"/>
            <w:vAlign w:val="center"/>
          </w:tcPr>
          <w:p w:rsidR="00B77D2A" w:rsidRPr="00B77D2A" w:rsidRDefault="00485891" w:rsidP="00B77D2A">
            <w:pPr>
              <w:jc w:val="center"/>
              <w:rPr>
                <w:b/>
              </w:rPr>
            </w:pPr>
            <w:r>
              <w:rPr>
                <w:b/>
              </w:rPr>
              <w:t xml:space="preserve">11 </w:t>
            </w:r>
            <w:r w:rsidR="00B77D2A" w:rsidRPr="00B77D2A">
              <w:rPr>
                <w:b/>
              </w:rPr>
              <w:t>%</w:t>
            </w:r>
          </w:p>
        </w:tc>
        <w:tc>
          <w:tcPr>
            <w:tcW w:w="2553" w:type="dxa"/>
            <w:tcBorders>
              <w:left w:val="single" w:sz="12" w:space="0" w:color="auto"/>
            </w:tcBorders>
            <w:shd w:val="clear" w:color="auto" w:fill="auto"/>
            <w:vAlign w:val="center"/>
          </w:tcPr>
          <w:p w:rsidR="00B77D2A" w:rsidRPr="00B77D2A" w:rsidRDefault="00B77D2A" w:rsidP="00B77D2A">
            <w:r>
              <w:rPr>
                <w:b/>
              </w:rPr>
              <w:t>10</w:t>
            </w:r>
            <w:r w:rsidRPr="00B77D2A">
              <w:rPr>
                <w:b/>
              </w:rPr>
              <w:t>.</w:t>
            </w:r>
            <w:r w:rsidRPr="00B77D2A">
              <w:t xml:space="preserve"> Kaimo turizmo sodybų sąrašas</w:t>
            </w:r>
          </w:p>
        </w:tc>
        <w:tc>
          <w:tcPr>
            <w:tcW w:w="1134" w:type="dxa"/>
            <w:shd w:val="clear" w:color="auto" w:fill="auto"/>
            <w:vAlign w:val="center"/>
          </w:tcPr>
          <w:p w:rsidR="00B77D2A" w:rsidRPr="00B77D2A" w:rsidRDefault="00B77D2A" w:rsidP="00B77D2A">
            <w:pPr>
              <w:jc w:val="center"/>
            </w:pPr>
            <w:r>
              <w:t>887</w:t>
            </w:r>
          </w:p>
        </w:tc>
        <w:tc>
          <w:tcPr>
            <w:tcW w:w="1241" w:type="dxa"/>
            <w:tcBorders>
              <w:right w:val="single" w:sz="12" w:space="0" w:color="auto"/>
            </w:tcBorders>
            <w:shd w:val="clear" w:color="auto" w:fill="auto"/>
            <w:vAlign w:val="center"/>
          </w:tcPr>
          <w:p w:rsidR="00B77D2A" w:rsidRPr="00B77D2A" w:rsidRDefault="00485891" w:rsidP="00B77D2A">
            <w:pPr>
              <w:jc w:val="center"/>
              <w:rPr>
                <w:b/>
              </w:rPr>
            </w:pPr>
            <w:r>
              <w:rPr>
                <w:b/>
              </w:rPr>
              <w:t xml:space="preserve">0,9 </w:t>
            </w:r>
            <w:r w:rsidR="00B77D2A" w:rsidRPr="00B77D2A">
              <w:rPr>
                <w:b/>
              </w:rPr>
              <w:t>%</w:t>
            </w:r>
          </w:p>
        </w:tc>
      </w:tr>
      <w:tr w:rsidR="00B77D2A" w:rsidRPr="00B77D2A" w:rsidTr="00B9072D">
        <w:tc>
          <w:tcPr>
            <w:tcW w:w="2518" w:type="dxa"/>
            <w:tcBorders>
              <w:top w:val="single" w:sz="2" w:space="0" w:color="auto"/>
              <w:left w:val="single" w:sz="12" w:space="0" w:color="auto"/>
              <w:bottom w:val="single" w:sz="2" w:space="0" w:color="auto"/>
              <w:right w:val="single" w:sz="2" w:space="0" w:color="auto"/>
            </w:tcBorders>
            <w:shd w:val="clear" w:color="auto" w:fill="auto"/>
            <w:vAlign w:val="center"/>
          </w:tcPr>
          <w:p w:rsidR="00B77D2A" w:rsidRPr="00B77D2A" w:rsidRDefault="00B77D2A" w:rsidP="00B77D2A">
            <w:r w:rsidRPr="00B77D2A">
              <w:rPr>
                <w:b/>
              </w:rPr>
              <w:t>4.</w:t>
            </w:r>
            <w:r w:rsidRPr="00B77D2A">
              <w:t xml:space="preserve"> Lankytinų vietų sąrašas</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B77D2A" w:rsidRPr="00B77D2A" w:rsidRDefault="00B77D2A" w:rsidP="00B77D2A">
            <w:pPr>
              <w:jc w:val="center"/>
            </w:pPr>
            <w:r>
              <w:t>4386</w:t>
            </w:r>
          </w:p>
        </w:tc>
        <w:tc>
          <w:tcPr>
            <w:tcW w:w="1274" w:type="dxa"/>
            <w:tcBorders>
              <w:top w:val="single" w:sz="2" w:space="0" w:color="auto"/>
              <w:left w:val="single" w:sz="2" w:space="0" w:color="auto"/>
              <w:bottom w:val="single" w:sz="2" w:space="0" w:color="auto"/>
              <w:right w:val="single" w:sz="12" w:space="0" w:color="auto"/>
            </w:tcBorders>
            <w:shd w:val="clear" w:color="auto" w:fill="auto"/>
            <w:vAlign w:val="center"/>
          </w:tcPr>
          <w:p w:rsidR="00B77D2A" w:rsidRPr="00B77D2A" w:rsidRDefault="00485891" w:rsidP="00B77D2A">
            <w:pPr>
              <w:jc w:val="center"/>
              <w:rPr>
                <w:b/>
              </w:rPr>
            </w:pPr>
            <w:r>
              <w:rPr>
                <w:b/>
              </w:rPr>
              <w:t xml:space="preserve">5 </w:t>
            </w:r>
            <w:r w:rsidR="00B77D2A" w:rsidRPr="00B77D2A">
              <w:rPr>
                <w:b/>
              </w:rPr>
              <w:t>%</w:t>
            </w:r>
          </w:p>
        </w:tc>
        <w:tc>
          <w:tcPr>
            <w:tcW w:w="2553" w:type="dxa"/>
            <w:tcBorders>
              <w:left w:val="single" w:sz="12" w:space="0" w:color="auto"/>
            </w:tcBorders>
            <w:shd w:val="clear" w:color="auto" w:fill="auto"/>
            <w:vAlign w:val="center"/>
          </w:tcPr>
          <w:p w:rsidR="00B77D2A" w:rsidRPr="00B77D2A" w:rsidRDefault="00B77D2A" w:rsidP="00B77D2A">
            <w:r>
              <w:rPr>
                <w:b/>
              </w:rPr>
              <w:t>11</w:t>
            </w:r>
            <w:r w:rsidRPr="00B77D2A">
              <w:rPr>
                <w:b/>
              </w:rPr>
              <w:t>.</w:t>
            </w:r>
            <w:r w:rsidRPr="00B77D2A">
              <w:t xml:space="preserve"> Pradinis puslapis anglų kalba</w:t>
            </w:r>
          </w:p>
        </w:tc>
        <w:tc>
          <w:tcPr>
            <w:tcW w:w="1134" w:type="dxa"/>
            <w:shd w:val="clear" w:color="auto" w:fill="auto"/>
            <w:vAlign w:val="center"/>
          </w:tcPr>
          <w:p w:rsidR="00B77D2A" w:rsidRPr="00B77D2A" w:rsidRDefault="00B77D2A" w:rsidP="00B77D2A">
            <w:pPr>
              <w:jc w:val="center"/>
            </w:pPr>
            <w:r>
              <w:t>788</w:t>
            </w:r>
          </w:p>
        </w:tc>
        <w:tc>
          <w:tcPr>
            <w:tcW w:w="1241" w:type="dxa"/>
            <w:tcBorders>
              <w:right w:val="single" w:sz="12" w:space="0" w:color="auto"/>
            </w:tcBorders>
            <w:shd w:val="clear" w:color="auto" w:fill="auto"/>
            <w:vAlign w:val="center"/>
          </w:tcPr>
          <w:p w:rsidR="00B77D2A" w:rsidRPr="00B77D2A" w:rsidRDefault="00485891" w:rsidP="00B77D2A">
            <w:pPr>
              <w:jc w:val="center"/>
              <w:rPr>
                <w:b/>
              </w:rPr>
            </w:pPr>
            <w:r>
              <w:rPr>
                <w:b/>
              </w:rPr>
              <w:t xml:space="preserve">0,8 </w:t>
            </w:r>
            <w:r w:rsidR="00B77D2A" w:rsidRPr="00B77D2A">
              <w:rPr>
                <w:b/>
              </w:rPr>
              <w:t>%</w:t>
            </w:r>
          </w:p>
        </w:tc>
      </w:tr>
      <w:tr w:rsidR="00B77D2A" w:rsidRPr="00B77D2A" w:rsidTr="00B9072D">
        <w:tc>
          <w:tcPr>
            <w:tcW w:w="2518" w:type="dxa"/>
            <w:tcBorders>
              <w:top w:val="single" w:sz="2" w:space="0" w:color="auto"/>
              <w:left w:val="single" w:sz="12" w:space="0" w:color="auto"/>
              <w:bottom w:val="single" w:sz="2" w:space="0" w:color="auto"/>
              <w:right w:val="single" w:sz="2" w:space="0" w:color="auto"/>
            </w:tcBorders>
            <w:shd w:val="clear" w:color="auto" w:fill="auto"/>
            <w:vAlign w:val="center"/>
          </w:tcPr>
          <w:p w:rsidR="00B77D2A" w:rsidRPr="00B77D2A" w:rsidRDefault="00B77D2A" w:rsidP="00B77D2A">
            <w:r w:rsidRPr="00B77D2A">
              <w:rPr>
                <w:b/>
              </w:rPr>
              <w:t>5.</w:t>
            </w:r>
            <w:r w:rsidRPr="00B77D2A">
              <w:t xml:space="preserve"> Triušiukų slėnis</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B77D2A" w:rsidRPr="00B77D2A" w:rsidRDefault="00B77D2A" w:rsidP="00B77D2A">
            <w:pPr>
              <w:jc w:val="center"/>
            </w:pPr>
            <w:r>
              <w:t>3553</w:t>
            </w:r>
          </w:p>
        </w:tc>
        <w:tc>
          <w:tcPr>
            <w:tcW w:w="1274" w:type="dxa"/>
            <w:tcBorders>
              <w:top w:val="single" w:sz="2" w:space="0" w:color="auto"/>
              <w:left w:val="single" w:sz="2" w:space="0" w:color="auto"/>
              <w:bottom w:val="single" w:sz="2" w:space="0" w:color="auto"/>
              <w:right w:val="single" w:sz="12" w:space="0" w:color="auto"/>
            </w:tcBorders>
            <w:shd w:val="clear" w:color="auto" w:fill="auto"/>
            <w:vAlign w:val="center"/>
          </w:tcPr>
          <w:p w:rsidR="00B77D2A" w:rsidRPr="00B77D2A" w:rsidRDefault="00485891" w:rsidP="00B77D2A">
            <w:pPr>
              <w:jc w:val="center"/>
              <w:rPr>
                <w:b/>
              </w:rPr>
            </w:pPr>
            <w:r>
              <w:rPr>
                <w:b/>
              </w:rPr>
              <w:t xml:space="preserve">4 </w:t>
            </w:r>
            <w:r w:rsidR="00B77D2A" w:rsidRPr="00B77D2A">
              <w:rPr>
                <w:b/>
              </w:rPr>
              <w:t>%</w:t>
            </w:r>
          </w:p>
        </w:tc>
        <w:tc>
          <w:tcPr>
            <w:tcW w:w="2553" w:type="dxa"/>
            <w:tcBorders>
              <w:left w:val="single" w:sz="12" w:space="0" w:color="auto"/>
            </w:tcBorders>
            <w:shd w:val="clear" w:color="auto" w:fill="auto"/>
            <w:vAlign w:val="center"/>
          </w:tcPr>
          <w:p w:rsidR="00B77D2A" w:rsidRPr="00B77D2A" w:rsidRDefault="00B77D2A" w:rsidP="00B77D2A">
            <w:r>
              <w:rPr>
                <w:b/>
              </w:rPr>
              <w:t>12</w:t>
            </w:r>
            <w:r w:rsidRPr="00B77D2A">
              <w:rPr>
                <w:b/>
              </w:rPr>
              <w:t>.</w:t>
            </w:r>
            <w:r w:rsidRPr="00B77D2A">
              <w:t xml:space="preserve"> Grožio ir SPA centras „</w:t>
            </w:r>
            <w:proofErr w:type="spellStart"/>
            <w:r w:rsidRPr="00B77D2A">
              <w:t>Tilia</w:t>
            </w:r>
            <w:proofErr w:type="spellEnd"/>
            <w:r w:rsidRPr="00B77D2A">
              <w:t>“</w:t>
            </w:r>
          </w:p>
        </w:tc>
        <w:tc>
          <w:tcPr>
            <w:tcW w:w="1134" w:type="dxa"/>
            <w:shd w:val="clear" w:color="auto" w:fill="auto"/>
            <w:vAlign w:val="center"/>
          </w:tcPr>
          <w:p w:rsidR="00B77D2A" w:rsidRPr="00B77D2A" w:rsidRDefault="00B77D2A" w:rsidP="00B77D2A">
            <w:pPr>
              <w:jc w:val="center"/>
            </w:pPr>
            <w:r>
              <w:t>647</w:t>
            </w:r>
          </w:p>
        </w:tc>
        <w:tc>
          <w:tcPr>
            <w:tcW w:w="1241" w:type="dxa"/>
            <w:tcBorders>
              <w:right w:val="single" w:sz="12" w:space="0" w:color="auto"/>
            </w:tcBorders>
            <w:shd w:val="clear" w:color="auto" w:fill="auto"/>
            <w:vAlign w:val="center"/>
          </w:tcPr>
          <w:p w:rsidR="00B77D2A" w:rsidRPr="00B77D2A" w:rsidRDefault="00485891" w:rsidP="00B77D2A">
            <w:pPr>
              <w:jc w:val="center"/>
              <w:rPr>
                <w:b/>
              </w:rPr>
            </w:pPr>
            <w:r>
              <w:rPr>
                <w:b/>
              </w:rPr>
              <w:t xml:space="preserve">0,7 </w:t>
            </w:r>
            <w:r w:rsidR="00B77D2A" w:rsidRPr="00B77D2A">
              <w:rPr>
                <w:b/>
              </w:rPr>
              <w:t>%</w:t>
            </w:r>
          </w:p>
        </w:tc>
      </w:tr>
      <w:tr w:rsidR="00B77D2A" w:rsidRPr="00B77D2A" w:rsidTr="00B9072D">
        <w:tc>
          <w:tcPr>
            <w:tcW w:w="2518" w:type="dxa"/>
            <w:tcBorders>
              <w:top w:val="single" w:sz="2" w:space="0" w:color="auto"/>
              <w:left w:val="single" w:sz="12" w:space="0" w:color="auto"/>
              <w:bottom w:val="single" w:sz="2" w:space="0" w:color="auto"/>
              <w:right w:val="single" w:sz="2" w:space="0" w:color="auto"/>
            </w:tcBorders>
            <w:shd w:val="clear" w:color="auto" w:fill="auto"/>
            <w:vAlign w:val="center"/>
          </w:tcPr>
          <w:p w:rsidR="00B77D2A" w:rsidRPr="00B77D2A" w:rsidRDefault="00B77D2A" w:rsidP="00B77D2A">
            <w:r w:rsidRPr="00B77D2A">
              <w:rPr>
                <w:b/>
              </w:rPr>
              <w:t>6.</w:t>
            </w:r>
            <w:r w:rsidRPr="00B77D2A">
              <w:t xml:space="preserve"> </w:t>
            </w:r>
            <w:r>
              <w:t xml:space="preserve">Utenos miesto fontanas ir </w:t>
            </w:r>
            <w:proofErr w:type="spellStart"/>
            <w:r w:rsidRPr="00B77D2A">
              <w:t>Dauniškio</w:t>
            </w:r>
            <w:proofErr w:type="spellEnd"/>
            <w:r w:rsidRPr="00B77D2A">
              <w:t xml:space="preserve"> </w:t>
            </w:r>
            <w:r>
              <w:t>parkas</w:t>
            </w:r>
            <w:r w:rsidRPr="00B77D2A">
              <w:t xml:space="preserve"> </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B77D2A" w:rsidRDefault="00B77D2A" w:rsidP="00B77D2A">
            <w:pPr>
              <w:jc w:val="center"/>
            </w:pPr>
            <w:r>
              <w:t>2365</w:t>
            </w:r>
          </w:p>
          <w:p w:rsidR="00B77D2A" w:rsidRPr="00B77D2A" w:rsidRDefault="00B77D2A" w:rsidP="00B77D2A">
            <w:pPr>
              <w:jc w:val="center"/>
            </w:pPr>
          </w:p>
        </w:tc>
        <w:tc>
          <w:tcPr>
            <w:tcW w:w="1274" w:type="dxa"/>
            <w:tcBorders>
              <w:top w:val="single" w:sz="2" w:space="0" w:color="auto"/>
              <w:left w:val="single" w:sz="2" w:space="0" w:color="auto"/>
              <w:bottom w:val="single" w:sz="2" w:space="0" w:color="auto"/>
              <w:right w:val="single" w:sz="12" w:space="0" w:color="auto"/>
            </w:tcBorders>
            <w:shd w:val="clear" w:color="auto" w:fill="auto"/>
            <w:vAlign w:val="center"/>
          </w:tcPr>
          <w:p w:rsidR="00B77D2A" w:rsidRPr="00B77D2A" w:rsidRDefault="00485891" w:rsidP="00B77D2A">
            <w:pPr>
              <w:jc w:val="center"/>
              <w:rPr>
                <w:b/>
              </w:rPr>
            </w:pPr>
            <w:r>
              <w:rPr>
                <w:b/>
              </w:rPr>
              <w:t xml:space="preserve">2 </w:t>
            </w:r>
            <w:r w:rsidR="00B77D2A" w:rsidRPr="00B77D2A">
              <w:rPr>
                <w:b/>
              </w:rPr>
              <w:t>%</w:t>
            </w:r>
          </w:p>
        </w:tc>
        <w:tc>
          <w:tcPr>
            <w:tcW w:w="2553" w:type="dxa"/>
            <w:tcBorders>
              <w:left w:val="single" w:sz="12" w:space="0" w:color="auto"/>
            </w:tcBorders>
            <w:shd w:val="clear" w:color="auto" w:fill="auto"/>
            <w:vAlign w:val="center"/>
          </w:tcPr>
          <w:p w:rsidR="00B77D2A" w:rsidRPr="00B77D2A" w:rsidRDefault="00B77D2A" w:rsidP="00B77D2A">
            <w:r>
              <w:rPr>
                <w:b/>
              </w:rPr>
              <w:t>13</w:t>
            </w:r>
            <w:r w:rsidRPr="00B77D2A">
              <w:rPr>
                <w:b/>
              </w:rPr>
              <w:t>.</w:t>
            </w:r>
            <w:r w:rsidRPr="00B77D2A">
              <w:t xml:space="preserve"> </w:t>
            </w:r>
            <w:r>
              <w:t>Kaimo turizmo sodyba „</w:t>
            </w:r>
            <w:proofErr w:type="spellStart"/>
            <w:r>
              <w:t>Alaušynė</w:t>
            </w:r>
            <w:proofErr w:type="spellEnd"/>
            <w:r>
              <w:t>“</w:t>
            </w:r>
          </w:p>
        </w:tc>
        <w:tc>
          <w:tcPr>
            <w:tcW w:w="1134" w:type="dxa"/>
            <w:shd w:val="clear" w:color="auto" w:fill="auto"/>
            <w:vAlign w:val="center"/>
          </w:tcPr>
          <w:p w:rsidR="00B77D2A" w:rsidRPr="00B77D2A" w:rsidRDefault="00B77D2A" w:rsidP="00B77D2A">
            <w:pPr>
              <w:jc w:val="center"/>
            </w:pPr>
            <w:r>
              <w:t>580</w:t>
            </w:r>
          </w:p>
        </w:tc>
        <w:tc>
          <w:tcPr>
            <w:tcW w:w="1241" w:type="dxa"/>
            <w:tcBorders>
              <w:right w:val="single" w:sz="12" w:space="0" w:color="auto"/>
            </w:tcBorders>
            <w:shd w:val="clear" w:color="auto" w:fill="auto"/>
            <w:vAlign w:val="center"/>
          </w:tcPr>
          <w:p w:rsidR="00B77D2A" w:rsidRPr="00B77D2A" w:rsidRDefault="00485891" w:rsidP="00B77D2A">
            <w:pPr>
              <w:jc w:val="center"/>
              <w:rPr>
                <w:b/>
              </w:rPr>
            </w:pPr>
            <w:r>
              <w:rPr>
                <w:b/>
              </w:rPr>
              <w:t xml:space="preserve">0,6 </w:t>
            </w:r>
            <w:r w:rsidR="00B77D2A" w:rsidRPr="00B77D2A">
              <w:rPr>
                <w:b/>
              </w:rPr>
              <w:t>%</w:t>
            </w:r>
          </w:p>
        </w:tc>
      </w:tr>
      <w:tr w:rsidR="00B77D2A" w:rsidRPr="00B77D2A" w:rsidTr="00B77D2A">
        <w:tc>
          <w:tcPr>
            <w:tcW w:w="2518" w:type="dxa"/>
            <w:tcBorders>
              <w:top w:val="single" w:sz="2" w:space="0" w:color="auto"/>
              <w:left w:val="single" w:sz="12" w:space="0" w:color="auto"/>
              <w:bottom w:val="single" w:sz="12" w:space="0" w:color="auto"/>
              <w:right w:val="single" w:sz="2" w:space="0" w:color="auto"/>
            </w:tcBorders>
            <w:shd w:val="clear" w:color="auto" w:fill="auto"/>
            <w:vAlign w:val="center"/>
          </w:tcPr>
          <w:p w:rsidR="00B77D2A" w:rsidRPr="00B77D2A" w:rsidRDefault="00B77D2A" w:rsidP="00B77D2A">
            <w:r w:rsidRPr="00B77D2A">
              <w:rPr>
                <w:b/>
              </w:rPr>
              <w:t>7.</w:t>
            </w:r>
            <w:r w:rsidRPr="00B77D2A">
              <w:t xml:space="preserve"> Poilsiavietė „Sudeikiai“</w:t>
            </w:r>
          </w:p>
        </w:tc>
        <w:tc>
          <w:tcPr>
            <w:tcW w:w="1134" w:type="dxa"/>
            <w:tcBorders>
              <w:top w:val="single" w:sz="2" w:space="0" w:color="auto"/>
              <w:left w:val="single" w:sz="2" w:space="0" w:color="auto"/>
              <w:bottom w:val="single" w:sz="12" w:space="0" w:color="auto"/>
              <w:right w:val="single" w:sz="2" w:space="0" w:color="auto"/>
            </w:tcBorders>
            <w:shd w:val="clear" w:color="auto" w:fill="auto"/>
            <w:vAlign w:val="center"/>
          </w:tcPr>
          <w:p w:rsidR="00B77D2A" w:rsidRPr="00B77D2A" w:rsidRDefault="00B77D2A" w:rsidP="00B77D2A">
            <w:pPr>
              <w:jc w:val="center"/>
            </w:pPr>
            <w:r>
              <w:t>1295</w:t>
            </w:r>
          </w:p>
        </w:tc>
        <w:tc>
          <w:tcPr>
            <w:tcW w:w="1274" w:type="dxa"/>
            <w:tcBorders>
              <w:top w:val="single" w:sz="2" w:space="0" w:color="auto"/>
              <w:left w:val="single" w:sz="2" w:space="0" w:color="auto"/>
              <w:bottom w:val="single" w:sz="12" w:space="0" w:color="auto"/>
              <w:right w:val="single" w:sz="12" w:space="0" w:color="auto"/>
            </w:tcBorders>
            <w:shd w:val="clear" w:color="auto" w:fill="auto"/>
            <w:vAlign w:val="center"/>
          </w:tcPr>
          <w:p w:rsidR="00B77D2A" w:rsidRPr="00B77D2A" w:rsidRDefault="00485891" w:rsidP="00B77D2A">
            <w:pPr>
              <w:jc w:val="center"/>
              <w:rPr>
                <w:b/>
              </w:rPr>
            </w:pPr>
            <w:r>
              <w:rPr>
                <w:b/>
              </w:rPr>
              <w:t xml:space="preserve">1 </w:t>
            </w:r>
            <w:r w:rsidR="00B77D2A" w:rsidRPr="00B77D2A">
              <w:rPr>
                <w:b/>
              </w:rPr>
              <w:t>%</w:t>
            </w:r>
          </w:p>
        </w:tc>
        <w:tc>
          <w:tcPr>
            <w:tcW w:w="2553" w:type="dxa"/>
            <w:tcBorders>
              <w:left w:val="single" w:sz="12" w:space="0" w:color="auto"/>
              <w:bottom w:val="single" w:sz="12" w:space="0" w:color="auto"/>
            </w:tcBorders>
            <w:shd w:val="clear" w:color="auto" w:fill="auto"/>
            <w:vAlign w:val="center"/>
          </w:tcPr>
          <w:p w:rsidR="00B77D2A" w:rsidRPr="00B77D2A" w:rsidRDefault="00B77D2A" w:rsidP="00B77D2A">
            <w:r>
              <w:rPr>
                <w:b/>
              </w:rPr>
              <w:t>14</w:t>
            </w:r>
            <w:r w:rsidRPr="00B77D2A">
              <w:rPr>
                <w:b/>
              </w:rPr>
              <w:t>.</w:t>
            </w:r>
            <w:r w:rsidRPr="00B77D2A">
              <w:t xml:space="preserve"> </w:t>
            </w:r>
            <w:r>
              <w:t>Utenos kalėdinė mugė</w:t>
            </w:r>
          </w:p>
        </w:tc>
        <w:tc>
          <w:tcPr>
            <w:tcW w:w="1134" w:type="dxa"/>
            <w:tcBorders>
              <w:bottom w:val="single" w:sz="12" w:space="0" w:color="auto"/>
            </w:tcBorders>
            <w:shd w:val="clear" w:color="auto" w:fill="auto"/>
            <w:vAlign w:val="center"/>
          </w:tcPr>
          <w:p w:rsidR="00B77D2A" w:rsidRPr="00B77D2A" w:rsidRDefault="00B77D2A" w:rsidP="00B77D2A">
            <w:pPr>
              <w:jc w:val="center"/>
            </w:pPr>
            <w:r>
              <w:t>514</w:t>
            </w:r>
          </w:p>
        </w:tc>
        <w:tc>
          <w:tcPr>
            <w:tcW w:w="1241" w:type="dxa"/>
            <w:tcBorders>
              <w:bottom w:val="single" w:sz="12" w:space="0" w:color="auto"/>
              <w:right w:val="single" w:sz="12" w:space="0" w:color="auto"/>
            </w:tcBorders>
            <w:shd w:val="clear" w:color="auto" w:fill="auto"/>
            <w:vAlign w:val="center"/>
          </w:tcPr>
          <w:p w:rsidR="00B77D2A" w:rsidRPr="00B77D2A" w:rsidRDefault="00485891" w:rsidP="00B77D2A">
            <w:pPr>
              <w:jc w:val="center"/>
              <w:rPr>
                <w:b/>
              </w:rPr>
            </w:pPr>
            <w:r>
              <w:rPr>
                <w:b/>
              </w:rPr>
              <w:t xml:space="preserve">0,5 </w:t>
            </w:r>
            <w:r w:rsidR="00B77D2A" w:rsidRPr="00B77D2A">
              <w:rPr>
                <w:b/>
              </w:rPr>
              <w:t>%</w:t>
            </w:r>
          </w:p>
        </w:tc>
      </w:tr>
    </w:tbl>
    <w:p w:rsidR="00B77D2A" w:rsidRDefault="00B77D2A" w:rsidP="00022E9D"/>
    <w:p w:rsidR="002C503C" w:rsidRPr="00B77D2A" w:rsidRDefault="002C503C" w:rsidP="002C503C">
      <w:pPr>
        <w:jc w:val="both"/>
      </w:pPr>
      <w:r w:rsidRPr="00B77D2A">
        <w:t xml:space="preserve">Lentelėje Nr. </w:t>
      </w:r>
      <w:r>
        <w:t>2</w:t>
      </w:r>
      <w:r w:rsidRPr="00B77D2A">
        <w:t xml:space="preserve"> pateikiama informacija apie labiausiai lankomus vidinius svetainės </w:t>
      </w:r>
      <w:hyperlink r:id="rId19" w:history="1">
        <w:r w:rsidRPr="00B77D2A">
          <w:t>www.utenainfo.lt</w:t>
        </w:r>
      </w:hyperlink>
      <w:r w:rsidRPr="00B77D2A">
        <w:t xml:space="preserve"> puslapius, t.y. puslapius, kurių prisijungimo se</w:t>
      </w:r>
      <w:r>
        <w:t>ansai viršija 500 kartų per 2019</w:t>
      </w:r>
      <w:r w:rsidRPr="00B77D2A">
        <w:t xml:space="preserve"> m.</w:t>
      </w:r>
    </w:p>
    <w:p w:rsidR="00B77D2A" w:rsidRDefault="00B77D2A" w:rsidP="00022E9D"/>
    <w:p w:rsidR="00B77D2A" w:rsidRDefault="00B77D2A" w:rsidP="00022E9D"/>
    <w:p w:rsidR="002C503C" w:rsidRPr="005B0B7F" w:rsidRDefault="000103E8" w:rsidP="002C503C">
      <w:pPr>
        <w:jc w:val="center"/>
        <w:rPr>
          <w:b/>
          <w:sz w:val="28"/>
          <w:szCs w:val="28"/>
        </w:rPr>
      </w:pPr>
      <w:r>
        <w:rPr>
          <w:b/>
          <w:sz w:val="28"/>
          <w:szCs w:val="28"/>
        </w:rPr>
        <w:t xml:space="preserve">3. </w:t>
      </w:r>
      <w:r w:rsidR="002C503C" w:rsidRPr="005B0B7F">
        <w:rPr>
          <w:b/>
          <w:sz w:val="28"/>
          <w:szCs w:val="28"/>
        </w:rPr>
        <w:t>2019 m. Lankytinų objektų Utenos mieste ir rajone statistika</w:t>
      </w:r>
    </w:p>
    <w:p w:rsidR="00AE74AB" w:rsidRPr="00AE74AB" w:rsidRDefault="00CD39A5" w:rsidP="008211AE">
      <w:pPr>
        <w:pStyle w:val="Antrat1"/>
        <w:ind w:firstLine="1296"/>
        <w:jc w:val="both"/>
        <w:rPr>
          <w:b w:val="0"/>
          <w:sz w:val="24"/>
          <w:szCs w:val="24"/>
        </w:rPr>
      </w:pPr>
      <w:r w:rsidRPr="00AE74AB">
        <w:rPr>
          <w:b w:val="0"/>
          <w:sz w:val="24"/>
          <w:szCs w:val="24"/>
        </w:rPr>
        <w:t>Kad išanalizuotumėme informaciją, kurie lankytini</w:t>
      </w:r>
      <w:r w:rsidR="00AE74AB">
        <w:rPr>
          <w:b w:val="0"/>
          <w:sz w:val="24"/>
          <w:szCs w:val="24"/>
        </w:rPr>
        <w:t xml:space="preserve"> </w:t>
      </w:r>
      <w:r w:rsidRPr="00AE74AB">
        <w:rPr>
          <w:b w:val="0"/>
          <w:sz w:val="24"/>
          <w:szCs w:val="24"/>
        </w:rPr>
        <w:t>objektai Utenos mieste ir rajone yra labiausia mėgstami turistų, 2019 m. rinkome informaciją apie lankytojų skaičių objektuose</w:t>
      </w:r>
      <w:r w:rsidR="00AF3AD0">
        <w:rPr>
          <w:b w:val="0"/>
          <w:sz w:val="24"/>
          <w:szCs w:val="24"/>
        </w:rPr>
        <w:t>, kurie šią informaciją kaupia</w:t>
      </w:r>
      <w:r w:rsidRPr="00AE74AB">
        <w:rPr>
          <w:b w:val="0"/>
          <w:sz w:val="24"/>
          <w:szCs w:val="24"/>
        </w:rPr>
        <w:t xml:space="preserve">. </w:t>
      </w:r>
      <w:r w:rsidR="00A32CC1" w:rsidRPr="00AE74AB">
        <w:rPr>
          <w:b w:val="0"/>
          <w:sz w:val="24"/>
          <w:szCs w:val="24"/>
        </w:rPr>
        <w:t xml:space="preserve">Trys gausiausiai lankomi objektai Utenos mieste ir rajone 2019 m. buvo </w:t>
      </w:r>
      <w:r w:rsidR="00AF3AD0">
        <w:rPr>
          <w:b w:val="0"/>
          <w:sz w:val="24"/>
          <w:szCs w:val="24"/>
        </w:rPr>
        <w:t>Utenos kraštotyros muziejus</w:t>
      </w:r>
      <w:r w:rsidRPr="00AE74AB">
        <w:rPr>
          <w:b w:val="0"/>
          <w:sz w:val="24"/>
          <w:szCs w:val="24"/>
        </w:rPr>
        <w:t xml:space="preserve"> (</w:t>
      </w:r>
      <w:proofErr w:type="spellStart"/>
      <w:r w:rsidRPr="00AE74AB">
        <w:rPr>
          <w:b w:val="0"/>
          <w:sz w:val="24"/>
          <w:szCs w:val="24"/>
        </w:rPr>
        <w:t>Utenio</w:t>
      </w:r>
      <w:proofErr w:type="spellEnd"/>
      <w:r w:rsidRPr="00AE74AB">
        <w:rPr>
          <w:b w:val="0"/>
          <w:sz w:val="24"/>
          <w:szCs w:val="24"/>
        </w:rPr>
        <w:t xml:space="preserve"> a. 3, Utena) – 9941 lankytojas, Triušiukų slėn</w:t>
      </w:r>
      <w:r w:rsidR="00A32CC1" w:rsidRPr="00AE74AB">
        <w:rPr>
          <w:b w:val="0"/>
          <w:sz w:val="24"/>
          <w:szCs w:val="24"/>
        </w:rPr>
        <w:t>is</w:t>
      </w:r>
      <w:r w:rsidRPr="00AE74AB">
        <w:rPr>
          <w:b w:val="0"/>
          <w:sz w:val="24"/>
          <w:szCs w:val="24"/>
        </w:rPr>
        <w:t xml:space="preserve"> (</w:t>
      </w:r>
      <w:proofErr w:type="spellStart"/>
      <w:r w:rsidRPr="00AE74AB">
        <w:rPr>
          <w:b w:val="0"/>
          <w:sz w:val="24"/>
          <w:szCs w:val="24"/>
        </w:rPr>
        <w:t>Antalamėstės</w:t>
      </w:r>
      <w:proofErr w:type="spellEnd"/>
      <w:r w:rsidRPr="00AE74AB">
        <w:rPr>
          <w:b w:val="0"/>
          <w:sz w:val="24"/>
          <w:szCs w:val="24"/>
        </w:rPr>
        <w:t xml:space="preserve"> k., </w:t>
      </w:r>
      <w:r w:rsidR="00A32CC1" w:rsidRPr="00AE74AB">
        <w:rPr>
          <w:b w:val="0"/>
          <w:sz w:val="24"/>
          <w:szCs w:val="24"/>
        </w:rPr>
        <w:t>Saldutiškio</w:t>
      </w:r>
      <w:r w:rsidRPr="00AE74AB">
        <w:rPr>
          <w:b w:val="0"/>
          <w:sz w:val="24"/>
          <w:szCs w:val="24"/>
        </w:rPr>
        <w:t xml:space="preserve"> sen.)</w:t>
      </w:r>
      <w:r w:rsidR="00A32CC1" w:rsidRPr="00AE74AB">
        <w:rPr>
          <w:b w:val="0"/>
          <w:sz w:val="24"/>
          <w:szCs w:val="24"/>
        </w:rPr>
        <w:t>, kuriame</w:t>
      </w:r>
      <w:r w:rsidRPr="00AE74AB">
        <w:rPr>
          <w:b w:val="0"/>
          <w:sz w:val="24"/>
          <w:szCs w:val="24"/>
        </w:rPr>
        <w:t xml:space="preserve"> apsilankė 8065 lankytojai</w:t>
      </w:r>
      <w:r w:rsidR="00A32CC1" w:rsidRPr="00AE74AB">
        <w:rPr>
          <w:b w:val="0"/>
          <w:sz w:val="24"/>
          <w:szCs w:val="24"/>
        </w:rPr>
        <w:t xml:space="preserve"> bei </w:t>
      </w:r>
      <w:r w:rsidR="005B0B7F" w:rsidRPr="00AE74AB">
        <w:rPr>
          <w:b w:val="0"/>
          <w:sz w:val="24"/>
          <w:szCs w:val="24"/>
        </w:rPr>
        <w:t xml:space="preserve">Vytauto </w:t>
      </w:r>
      <w:proofErr w:type="spellStart"/>
      <w:r w:rsidR="005B0B7F" w:rsidRPr="00AE74AB">
        <w:rPr>
          <w:b w:val="0"/>
          <w:sz w:val="24"/>
          <w:szCs w:val="24"/>
        </w:rPr>
        <w:t>Valiušio</w:t>
      </w:r>
      <w:proofErr w:type="spellEnd"/>
      <w:r w:rsidR="005B0B7F" w:rsidRPr="00AE74AB">
        <w:rPr>
          <w:b w:val="0"/>
          <w:sz w:val="24"/>
          <w:szCs w:val="24"/>
        </w:rPr>
        <w:t xml:space="preserve"> keramikos </w:t>
      </w:r>
      <w:proofErr w:type="spellStart"/>
      <w:r w:rsidR="005B0B7F" w:rsidRPr="00AE74AB">
        <w:rPr>
          <w:b w:val="0"/>
          <w:sz w:val="24"/>
          <w:szCs w:val="24"/>
        </w:rPr>
        <w:t>muziejuj</w:t>
      </w:r>
      <w:r w:rsidR="00A32CC1" w:rsidRPr="00AE74AB">
        <w:rPr>
          <w:b w:val="0"/>
          <w:sz w:val="24"/>
          <w:szCs w:val="24"/>
        </w:rPr>
        <w:t>us</w:t>
      </w:r>
      <w:proofErr w:type="spellEnd"/>
      <w:r w:rsidR="005B0B7F" w:rsidRPr="00AE74AB">
        <w:rPr>
          <w:b w:val="0"/>
          <w:sz w:val="24"/>
          <w:szCs w:val="24"/>
        </w:rPr>
        <w:t xml:space="preserve"> </w:t>
      </w:r>
      <w:proofErr w:type="spellStart"/>
      <w:r w:rsidR="005B0B7F" w:rsidRPr="00AE74AB">
        <w:rPr>
          <w:b w:val="0"/>
          <w:sz w:val="24"/>
          <w:szCs w:val="24"/>
        </w:rPr>
        <w:t>Leliūnų</w:t>
      </w:r>
      <w:proofErr w:type="spellEnd"/>
      <w:r w:rsidR="005B0B7F" w:rsidRPr="00AE74AB">
        <w:rPr>
          <w:b w:val="0"/>
          <w:sz w:val="24"/>
          <w:szCs w:val="24"/>
        </w:rPr>
        <w:t xml:space="preserve"> miestelyje</w:t>
      </w:r>
      <w:r w:rsidR="00A32CC1" w:rsidRPr="00AE74AB">
        <w:rPr>
          <w:b w:val="0"/>
          <w:sz w:val="24"/>
          <w:szCs w:val="24"/>
        </w:rPr>
        <w:t xml:space="preserve"> –</w:t>
      </w:r>
      <w:r w:rsidR="005B0B7F" w:rsidRPr="00AE74AB">
        <w:rPr>
          <w:b w:val="0"/>
          <w:sz w:val="24"/>
          <w:szCs w:val="24"/>
        </w:rPr>
        <w:t xml:space="preserve"> 6163 lankytojai.</w:t>
      </w:r>
      <w:r w:rsidR="00A32CC1" w:rsidRPr="00AE74AB">
        <w:rPr>
          <w:b w:val="0"/>
          <w:sz w:val="24"/>
          <w:szCs w:val="24"/>
        </w:rPr>
        <w:t xml:space="preserve"> Penki objektai sulaukė daugiau nei vieno tūkstančio lankytojų, bet lankytojų skaičius šiuose objektuose neviršijo dviejų tūkstančių, tai Utenos kraštotyros muziejaus padaliniai – A. ir M. Miškinių etnografinė sodyba </w:t>
      </w:r>
      <w:proofErr w:type="spellStart"/>
      <w:r w:rsidR="00A32CC1" w:rsidRPr="00AE74AB">
        <w:rPr>
          <w:b w:val="0"/>
          <w:sz w:val="24"/>
          <w:szCs w:val="24"/>
        </w:rPr>
        <w:t>Juknėn</w:t>
      </w:r>
      <w:r w:rsidR="00AE74AB" w:rsidRPr="00AE74AB">
        <w:rPr>
          <w:b w:val="0"/>
          <w:sz w:val="24"/>
          <w:szCs w:val="24"/>
        </w:rPr>
        <w:t>uose</w:t>
      </w:r>
      <w:proofErr w:type="spellEnd"/>
      <w:r w:rsidR="00AE74AB" w:rsidRPr="00AE74AB">
        <w:rPr>
          <w:b w:val="0"/>
          <w:sz w:val="24"/>
          <w:szCs w:val="24"/>
        </w:rPr>
        <w:t xml:space="preserve"> </w:t>
      </w:r>
      <w:r w:rsidR="00A32CC1" w:rsidRPr="00AE74AB">
        <w:rPr>
          <w:b w:val="0"/>
          <w:sz w:val="24"/>
          <w:szCs w:val="24"/>
        </w:rPr>
        <w:t xml:space="preserve">(Daugailių sen.), Laisvės kovų muziejus Utenos mieste, Tauragnų krašto muziejus bei Giedriaus </w:t>
      </w:r>
      <w:proofErr w:type="spellStart"/>
      <w:r w:rsidR="00A32CC1" w:rsidRPr="00AE74AB">
        <w:rPr>
          <w:b w:val="0"/>
          <w:sz w:val="24"/>
          <w:szCs w:val="24"/>
        </w:rPr>
        <w:lastRenderedPageBreak/>
        <w:t>Mazūro</w:t>
      </w:r>
      <w:proofErr w:type="spellEnd"/>
      <w:r w:rsidR="00A32CC1" w:rsidRPr="00AE74AB">
        <w:rPr>
          <w:b w:val="0"/>
          <w:sz w:val="24"/>
          <w:szCs w:val="24"/>
        </w:rPr>
        <w:t xml:space="preserve"> keramikos studija Antalgėje (</w:t>
      </w:r>
      <w:proofErr w:type="spellStart"/>
      <w:r w:rsidR="00A32CC1" w:rsidRPr="00AE74AB">
        <w:rPr>
          <w:b w:val="0"/>
          <w:sz w:val="24"/>
          <w:szCs w:val="24"/>
        </w:rPr>
        <w:t>Leliūnų</w:t>
      </w:r>
      <w:proofErr w:type="spellEnd"/>
      <w:r w:rsidR="00A32CC1" w:rsidRPr="00AE74AB">
        <w:rPr>
          <w:b w:val="0"/>
          <w:sz w:val="24"/>
          <w:szCs w:val="24"/>
        </w:rPr>
        <w:t xml:space="preserve"> sen.) </w:t>
      </w:r>
      <w:r w:rsidR="00AE74AB" w:rsidRPr="00AE74AB">
        <w:rPr>
          <w:b w:val="0"/>
          <w:sz w:val="24"/>
          <w:szCs w:val="24"/>
        </w:rPr>
        <w:t xml:space="preserve">ir Aludarystės pažinimo centras, kuris įsikūręs alaus darykloje Utenos mieste. Kituose objektuose lankytojų skaičius per 2019 m. neviršijo vieno tūkstančio. Tai Utenos miesto objektai Tradicinių amatų centras „Svirnas“ bei Senasis paštas, Utenos meno centras </w:t>
      </w:r>
      <w:proofErr w:type="spellStart"/>
      <w:r w:rsidR="00AE74AB" w:rsidRPr="00AE74AB">
        <w:rPr>
          <w:b w:val="0"/>
          <w:sz w:val="24"/>
          <w:szCs w:val="24"/>
        </w:rPr>
        <w:t>Leliūnuose</w:t>
      </w:r>
      <w:proofErr w:type="spellEnd"/>
      <w:r w:rsidR="00AE74AB" w:rsidRPr="00AE74AB">
        <w:rPr>
          <w:b w:val="0"/>
          <w:sz w:val="24"/>
          <w:szCs w:val="24"/>
        </w:rPr>
        <w:t xml:space="preserve">, Raganų muziejus </w:t>
      </w:r>
      <w:proofErr w:type="spellStart"/>
      <w:r w:rsidR="00AE74AB" w:rsidRPr="00AE74AB">
        <w:rPr>
          <w:b w:val="0"/>
          <w:sz w:val="24"/>
          <w:szCs w:val="24"/>
        </w:rPr>
        <w:t>Pačkėnuose</w:t>
      </w:r>
      <w:proofErr w:type="spellEnd"/>
      <w:r w:rsidR="00AE74AB" w:rsidRPr="00AE74AB">
        <w:rPr>
          <w:b w:val="0"/>
          <w:sz w:val="24"/>
          <w:szCs w:val="24"/>
        </w:rPr>
        <w:t xml:space="preserve"> (Utenos sen.), </w:t>
      </w:r>
      <w:r w:rsidR="00AE74AB">
        <w:rPr>
          <w:b w:val="0"/>
          <w:sz w:val="24"/>
          <w:szCs w:val="24"/>
        </w:rPr>
        <w:t xml:space="preserve">Vaizduotės parkas „Pasaka“ ir namelis „Drakono džiunglės“ Kuktiškių miestelyje bei Prieškario ūkininko sodyba </w:t>
      </w:r>
      <w:proofErr w:type="spellStart"/>
      <w:r w:rsidR="00AE74AB">
        <w:rPr>
          <w:b w:val="0"/>
          <w:sz w:val="24"/>
          <w:szCs w:val="24"/>
        </w:rPr>
        <w:t>Sirutėnuose</w:t>
      </w:r>
      <w:proofErr w:type="spellEnd"/>
      <w:r w:rsidR="00AE74AB">
        <w:rPr>
          <w:b w:val="0"/>
          <w:sz w:val="24"/>
          <w:szCs w:val="24"/>
        </w:rPr>
        <w:t xml:space="preserve"> (Sudeikių sen.) (žr.</w:t>
      </w:r>
      <w:r w:rsidR="00AF3AD0">
        <w:rPr>
          <w:b w:val="0"/>
          <w:sz w:val="24"/>
          <w:szCs w:val="24"/>
        </w:rPr>
        <w:t xml:space="preserve"> 10</w:t>
      </w:r>
      <w:r w:rsidR="00AE74AB">
        <w:rPr>
          <w:b w:val="0"/>
          <w:sz w:val="24"/>
          <w:szCs w:val="24"/>
        </w:rPr>
        <w:t xml:space="preserve"> pav.).</w:t>
      </w:r>
    </w:p>
    <w:p w:rsidR="002C503C" w:rsidRDefault="00A32CC1" w:rsidP="00022E9D">
      <w:r>
        <w:rPr>
          <w:noProof/>
        </w:rPr>
        <w:drawing>
          <wp:inline distT="0" distB="0" distL="0" distR="0" wp14:anchorId="79673BE4" wp14:editId="087187E7">
            <wp:extent cx="6124575" cy="3390900"/>
            <wp:effectExtent l="0" t="0" r="9525" b="19050"/>
            <wp:docPr id="7" name="Diagrama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E74AB" w:rsidRDefault="00AF3AD0" w:rsidP="00AE74AB">
      <w:pPr>
        <w:jc w:val="center"/>
      </w:pPr>
      <w:r w:rsidRPr="00AF3AD0">
        <w:rPr>
          <w:b/>
        </w:rPr>
        <w:t>10 p</w:t>
      </w:r>
      <w:r w:rsidR="00AE74AB" w:rsidRPr="00AF3AD0">
        <w:rPr>
          <w:b/>
        </w:rPr>
        <w:t>av.</w:t>
      </w:r>
      <w:r w:rsidR="00AE74AB" w:rsidRPr="00AF3AD0">
        <w:t xml:space="preserve"> </w:t>
      </w:r>
      <w:r w:rsidR="00AE74AB">
        <w:t>2019 m. lankytojų skaičius lankytinuose</w:t>
      </w:r>
      <w:r>
        <w:t xml:space="preserve"> Utenos miesto ir rajono</w:t>
      </w:r>
      <w:r w:rsidR="00AE74AB">
        <w:t xml:space="preserve"> objektuose </w:t>
      </w:r>
    </w:p>
    <w:p w:rsidR="002C503C" w:rsidRDefault="002C503C" w:rsidP="00022E9D"/>
    <w:p w:rsidR="002C503C" w:rsidRDefault="00A40A51" w:rsidP="00AF3AD0">
      <w:pPr>
        <w:ind w:firstLine="1296"/>
        <w:jc w:val="both"/>
      </w:pPr>
      <w:r>
        <w:t xml:space="preserve">Bendras skaičius lankytojų šiuose objektuose buvo 34403. 93% šių lankytojų sudarė lietuviai (31823 lankytojai), 7% užsienio šalių lankytojai (2362 lankytojai). </w:t>
      </w:r>
    </w:p>
    <w:p w:rsidR="002C503C" w:rsidRDefault="002C503C" w:rsidP="00022E9D"/>
    <w:p w:rsidR="002C503C" w:rsidRDefault="00A40A51" w:rsidP="00022E9D">
      <w:r>
        <w:rPr>
          <w:noProof/>
        </w:rPr>
        <w:drawing>
          <wp:inline distT="0" distB="0" distL="0" distR="0" wp14:anchorId="4654E7CF" wp14:editId="1CD02920">
            <wp:extent cx="6120130" cy="3202451"/>
            <wp:effectExtent l="0" t="0" r="13970" b="17145"/>
            <wp:docPr id="12" name="Diagrama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40A51" w:rsidRDefault="00AF3AD0" w:rsidP="00A40A51">
      <w:pPr>
        <w:jc w:val="center"/>
      </w:pPr>
      <w:r w:rsidRPr="004C7874">
        <w:rPr>
          <w:b/>
        </w:rPr>
        <w:t>11 p</w:t>
      </w:r>
      <w:r w:rsidR="00A40A51" w:rsidRPr="004C7874">
        <w:rPr>
          <w:b/>
        </w:rPr>
        <w:t>av.</w:t>
      </w:r>
      <w:r w:rsidR="00A40A51" w:rsidRPr="004C7874">
        <w:t xml:space="preserve"> </w:t>
      </w:r>
      <w:r w:rsidR="00A40A51">
        <w:t xml:space="preserve">2019 m. </w:t>
      </w:r>
      <w:r w:rsidR="004C7874">
        <w:t xml:space="preserve">užsieniečių </w:t>
      </w:r>
      <w:r w:rsidR="00A40A51">
        <w:t>skaičius</w:t>
      </w:r>
      <w:r w:rsidR="004C7874">
        <w:t xml:space="preserve"> pagal šalis </w:t>
      </w:r>
      <w:r w:rsidR="00A40A51">
        <w:t xml:space="preserve"> </w:t>
      </w:r>
      <w:r w:rsidR="004C7874">
        <w:t xml:space="preserve">Utenos miesto ir rajono </w:t>
      </w:r>
      <w:r w:rsidR="00A40A51">
        <w:t xml:space="preserve">lankytinuose objektuose </w:t>
      </w:r>
    </w:p>
    <w:p w:rsidR="002C503C" w:rsidRDefault="002C503C" w:rsidP="00022E9D"/>
    <w:p w:rsidR="00E2791B" w:rsidRDefault="002F7C35" w:rsidP="002F7C35">
      <w:pPr>
        <w:jc w:val="both"/>
      </w:pPr>
      <w:r>
        <w:lastRenderedPageBreak/>
        <w:t xml:space="preserve">Didžiausią dalį iš </w:t>
      </w:r>
      <w:r>
        <w:t xml:space="preserve">užsieniečių lankytinuose objektuose </w:t>
      </w:r>
      <w:r>
        <w:t xml:space="preserve">sudarė Baltijos ir kaimyninių šalių gyventojai (latviai, estai, lenkai, baltarusiai, rusai) </w:t>
      </w:r>
      <w:r>
        <w:t>66</w:t>
      </w:r>
      <w:r>
        <w:t xml:space="preserve">% </w:t>
      </w:r>
      <w:r>
        <w:t xml:space="preserve">bendro </w:t>
      </w:r>
      <w:r>
        <w:t>užsienio lankytojų skaičiaus</w:t>
      </w:r>
      <w:r>
        <w:t xml:space="preserve"> objektuose.</w:t>
      </w:r>
      <w:r w:rsidR="00E2791B">
        <w:t xml:space="preserve"> Didžiosios Britanijos ir Airijos šalių gyventojai sudarė – 22%, Pietų Europos šalių (ispanai, italai, graikai, portugalai, turkai, kipriečiai) 4% bendro užsieniečių skaičiaus lankytinuose objektuose. Utenos krašto muziejai, meno ir amatų centrai sulaukia lankytojų ir iš kitų žemynų, t.y. objektuose 2019 m. apsilankė amerikiečiai, </w:t>
      </w:r>
      <w:r w:rsidR="000103E8">
        <w:t xml:space="preserve">palestiniečiai, </w:t>
      </w:r>
      <w:r w:rsidR="00E2791B">
        <w:t>japonai, kinai, indai, australai</w:t>
      </w:r>
      <w:r w:rsidR="000103E8">
        <w:t>, iraniečiai (žr. 11 pav.).</w:t>
      </w:r>
    </w:p>
    <w:p w:rsidR="00E2791B" w:rsidRDefault="00E2791B" w:rsidP="002F7C35">
      <w:pPr>
        <w:jc w:val="both"/>
      </w:pPr>
    </w:p>
    <w:p w:rsidR="002C503C" w:rsidRDefault="002C503C" w:rsidP="00022E9D"/>
    <w:p w:rsidR="002C503C" w:rsidRDefault="002C503C" w:rsidP="00022E9D"/>
    <w:p w:rsidR="002C503C" w:rsidRPr="000103E8" w:rsidRDefault="000103E8" w:rsidP="000103E8">
      <w:pPr>
        <w:jc w:val="center"/>
        <w:rPr>
          <w:b/>
          <w:sz w:val="28"/>
          <w:szCs w:val="28"/>
        </w:rPr>
      </w:pPr>
      <w:r w:rsidRPr="000103E8">
        <w:rPr>
          <w:b/>
          <w:sz w:val="28"/>
          <w:szCs w:val="28"/>
        </w:rPr>
        <w:t>Išvados:</w:t>
      </w:r>
    </w:p>
    <w:p w:rsidR="002C503C" w:rsidRDefault="002C503C" w:rsidP="00022E9D"/>
    <w:p w:rsidR="002C503C" w:rsidRDefault="003C4202" w:rsidP="00BC5B16">
      <w:pPr>
        <w:pStyle w:val="Sraopastraipa"/>
        <w:numPr>
          <w:ilvl w:val="0"/>
          <w:numId w:val="1"/>
        </w:numPr>
        <w:jc w:val="both"/>
      </w:pPr>
      <w:r>
        <w:t xml:space="preserve">2019 m. didžiausią dalį lankytojų Utenos turizmo informacijos centre, lankytinuose objektuose sudarė lietuviai (Utenos TIC – 70%, objektuose net 90% </w:t>
      </w:r>
      <w:r>
        <w:t>bendro lankytojų skaičiaus</w:t>
      </w:r>
      <w:r>
        <w:t>), internetinėje svetainėje dažniausia informacijos ieškojo irgi lietuviai – 94% prisijungusiųjų skaičiaus.</w:t>
      </w:r>
    </w:p>
    <w:p w:rsidR="003C4202" w:rsidRDefault="003C4202" w:rsidP="003C4202">
      <w:pPr>
        <w:jc w:val="both"/>
      </w:pPr>
    </w:p>
    <w:p w:rsidR="003C4202" w:rsidRDefault="003C4202" w:rsidP="00BC5B16">
      <w:pPr>
        <w:pStyle w:val="Sraopastraipa"/>
        <w:numPr>
          <w:ilvl w:val="0"/>
          <w:numId w:val="1"/>
        </w:numPr>
        <w:jc w:val="both"/>
      </w:pPr>
      <w:r>
        <w:t xml:space="preserve">Populiariausia užsienio šalis – Latvija: Utenos turizmo informacijos centre 2019 m. apsilankė 271 latvis (34% bendro Utenos TIC užsieniečių lankytojų skaičiaus), lankytinuose objektuose apsilankė 1106 latviai – 47 % užsieniečių lankytojų skaičiaus objektuose), prie internetinės svetainės taip pat iš užsienio šalių daugiausia jungėsi </w:t>
      </w:r>
      <w:r w:rsidR="001F746C">
        <w:t xml:space="preserve">taip pat </w:t>
      </w:r>
      <w:bookmarkStart w:id="0" w:name="_GoBack"/>
      <w:bookmarkEnd w:id="0"/>
      <w:r>
        <w:t>latviai – 27% bendro užsieniečių prisijungimo skaičiaus.</w:t>
      </w:r>
    </w:p>
    <w:p w:rsidR="000103E8" w:rsidRDefault="000103E8" w:rsidP="003C4202">
      <w:pPr>
        <w:jc w:val="both"/>
      </w:pPr>
    </w:p>
    <w:p w:rsidR="000103E8" w:rsidRDefault="00BC5B16" w:rsidP="00BC5B16">
      <w:pPr>
        <w:pStyle w:val="Sraopastraipa"/>
        <w:numPr>
          <w:ilvl w:val="0"/>
          <w:numId w:val="1"/>
        </w:numPr>
        <w:jc w:val="both"/>
      </w:pPr>
      <w:r>
        <w:t>Daugiausia lankytojų Utenos turizmo informacijos centre 2019 m. sulaukėme vasaros sezonu – 46% bendro lankytojų skaičiaus, vasaros sezonu daugiausia ir prisijungimų prie internetinės svetainės - 37% bendro prisijungimų skaičiaus.</w:t>
      </w:r>
    </w:p>
    <w:p w:rsidR="000103E8" w:rsidRDefault="000103E8" w:rsidP="003C4202">
      <w:pPr>
        <w:jc w:val="both"/>
      </w:pPr>
    </w:p>
    <w:p w:rsidR="002C503C" w:rsidRDefault="000103E8" w:rsidP="00BC5B16">
      <w:pPr>
        <w:pStyle w:val="Sraopastraipa"/>
        <w:numPr>
          <w:ilvl w:val="0"/>
          <w:numId w:val="1"/>
        </w:numPr>
        <w:jc w:val="both"/>
      </w:pPr>
      <w:r>
        <w:t xml:space="preserve">Prisijungimų prie Utenos turizmo informacijos centro svetainės </w:t>
      </w:r>
      <w:proofErr w:type="spellStart"/>
      <w:r>
        <w:t>www.utenainfo.lt</w:t>
      </w:r>
      <w:proofErr w:type="spellEnd"/>
      <w:r>
        <w:t xml:space="preserve"> skaičius didėja kiekvienais metais. Lyginant 2019 m. su 2018 m., tai prisijungimų prie svetainės 2019 m. buvo 3836 prisijungimais daugiau, tai reiškia, kad kiekvienais metais vis daugiau potencialių Utenos krašto lankytojų ieško informacijos apie mūsų kraštą.</w:t>
      </w:r>
    </w:p>
    <w:p w:rsidR="00BC5B16" w:rsidRDefault="00BC5B16" w:rsidP="003C4202">
      <w:pPr>
        <w:jc w:val="both"/>
      </w:pPr>
    </w:p>
    <w:p w:rsidR="00BC5B16" w:rsidRDefault="00BC5B16" w:rsidP="00BC5B16">
      <w:pPr>
        <w:pStyle w:val="Sraopastraipa"/>
        <w:numPr>
          <w:ilvl w:val="0"/>
          <w:numId w:val="1"/>
        </w:numPr>
        <w:jc w:val="both"/>
      </w:pPr>
      <w:r>
        <w:t xml:space="preserve">Populiariausi lankytini objektai Utenos krašte 2019 m. buvo Utenos kraštotyros muziejus (9941 lankytojas), Triušiukų slėnis (8065 lankytojai), Vytauto </w:t>
      </w:r>
      <w:proofErr w:type="spellStart"/>
      <w:r>
        <w:t>Valiušio</w:t>
      </w:r>
      <w:proofErr w:type="spellEnd"/>
      <w:r>
        <w:t xml:space="preserve"> keramikos muziejus (6163 lankytojai). Beje, informacijos apie Triušių slėnį Utenos TIC svetainėje ieškojo 3553 prisijungusieji – tai penktas pagal populiarumą svetainės vidinis puslapis.</w:t>
      </w:r>
    </w:p>
    <w:p w:rsidR="002C503C" w:rsidRDefault="002C503C" w:rsidP="003C4202">
      <w:pPr>
        <w:jc w:val="both"/>
      </w:pPr>
    </w:p>
    <w:p w:rsidR="002C503C" w:rsidRDefault="002C503C" w:rsidP="00022E9D"/>
    <w:p w:rsidR="002C503C" w:rsidRDefault="002C503C" w:rsidP="00022E9D"/>
    <w:p w:rsidR="002C503C" w:rsidRDefault="002C503C" w:rsidP="00022E9D"/>
    <w:p w:rsidR="002C503C" w:rsidRDefault="002C503C" w:rsidP="00022E9D"/>
    <w:p w:rsidR="00B77D2A" w:rsidRDefault="00B77D2A" w:rsidP="00022E9D"/>
    <w:sectPr w:rsidR="00B77D2A" w:rsidSect="0083142D">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E3924"/>
    <w:multiLevelType w:val="hybridMultilevel"/>
    <w:tmpl w:val="BB88D9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C6D"/>
    <w:rsid w:val="000103E8"/>
    <w:rsid w:val="00022E9D"/>
    <w:rsid w:val="000814BA"/>
    <w:rsid w:val="001101CC"/>
    <w:rsid w:val="00121768"/>
    <w:rsid w:val="001E41D3"/>
    <w:rsid w:val="001F0949"/>
    <w:rsid w:val="001F746C"/>
    <w:rsid w:val="0026334D"/>
    <w:rsid w:val="00272469"/>
    <w:rsid w:val="002C503C"/>
    <w:rsid w:val="002F7C35"/>
    <w:rsid w:val="00366077"/>
    <w:rsid w:val="003A2E55"/>
    <w:rsid w:val="003C4202"/>
    <w:rsid w:val="00485891"/>
    <w:rsid w:val="00485F18"/>
    <w:rsid w:val="004C7874"/>
    <w:rsid w:val="004F232B"/>
    <w:rsid w:val="0056137A"/>
    <w:rsid w:val="005A1311"/>
    <w:rsid w:val="005A27CA"/>
    <w:rsid w:val="005A7449"/>
    <w:rsid w:val="005B0B7F"/>
    <w:rsid w:val="005D1AAE"/>
    <w:rsid w:val="00650176"/>
    <w:rsid w:val="006C7A30"/>
    <w:rsid w:val="006D3BC9"/>
    <w:rsid w:val="006F197D"/>
    <w:rsid w:val="00707B63"/>
    <w:rsid w:val="007523FC"/>
    <w:rsid w:val="007A57C7"/>
    <w:rsid w:val="008211AE"/>
    <w:rsid w:val="0083142D"/>
    <w:rsid w:val="008334FA"/>
    <w:rsid w:val="008577CA"/>
    <w:rsid w:val="00874378"/>
    <w:rsid w:val="0087443A"/>
    <w:rsid w:val="008965E7"/>
    <w:rsid w:val="008D60CD"/>
    <w:rsid w:val="009236A0"/>
    <w:rsid w:val="00925662"/>
    <w:rsid w:val="009756AE"/>
    <w:rsid w:val="00995643"/>
    <w:rsid w:val="00A064C4"/>
    <w:rsid w:val="00A25C6D"/>
    <w:rsid w:val="00A32CC1"/>
    <w:rsid w:val="00A40A51"/>
    <w:rsid w:val="00A64DB7"/>
    <w:rsid w:val="00A96B7A"/>
    <w:rsid w:val="00AD7793"/>
    <w:rsid w:val="00AE74AB"/>
    <w:rsid w:val="00AF2FF5"/>
    <w:rsid w:val="00AF3AD0"/>
    <w:rsid w:val="00B06689"/>
    <w:rsid w:val="00B06983"/>
    <w:rsid w:val="00B47ECF"/>
    <w:rsid w:val="00B77D2A"/>
    <w:rsid w:val="00BB37E8"/>
    <w:rsid w:val="00BC5B16"/>
    <w:rsid w:val="00BC790E"/>
    <w:rsid w:val="00BE2C72"/>
    <w:rsid w:val="00C572BE"/>
    <w:rsid w:val="00CD2860"/>
    <w:rsid w:val="00CD39A5"/>
    <w:rsid w:val="00CE5569"/>
    <w:rsid w:val="00D61574"/>
    <w:rsid w:val="00E2791B"/>
    <w:rsid w:val="00E462E0"/>
    <w:rsid w:val="00E529CA"/>
    <w:rsid w:val="00E72BD7"/>
    <w:rsid w:val="00E73377"/>
    <w:rsid w:val="00ED77EE"/>
    <w:rsid w:val="00FB5402"/>
    <w:rsid w:val="00FD522C"/>
    <w:rsid w:val="00FE1CB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E2C72"/>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link w:val="Antrat1Diagrama"/>
    <w:uiPriority w:val="9"/>
    <w:qFormat/>
    <w:rsid w:val="00AE74AB"/>
    <w:pPr>
      <w:spacing w:before="100" w:beforeAutospacing="1" w:after="100" w:afterAutospacing="1"/>
      <w:outlineLvl w:val="0"/>
    </w:pPr>
    <w:rPr>
      <w:b/>
      <w:bCs/>
      <w:kern w:val="36"/>
      <w:sz w:val="48"/>
      <w:szCs w:val="4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BE2C72"/>
    <w:rPr>
      <w:color w:val="0000FF"/>
      <w:u w:val="single"/>
    </w:rPr>
  </w:style>
  <w:style w:type="paragraph" w:styleId="Debesliotekstas">
    <w:name w:val="Balloon Text"/>
    <w:basedOn w:val="prastasis"/>
    <w:link w:val="DebesliotekstasDiagrama"/>
    <w:uiPriority w:val="99"/>
    <w:semiHidden/>
    <w:unhideWhenUsed/>
    <w:rsid w:val="000814B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814BA"/>
    <w:rPr>
      <w:rFonts w:ascii="Tahoma" w:eastAsia="Times New Roman" w:hAnsi="Tahoma" w:cs="Tahoma"/>
      <w:sz w:val="16"/>
      <w:szCs w:val="16"/>
      <w:lang w:eastAsia="lt-LT"/>
    </w:rPr>
  </w:style>
  <w:style w:type="character" w:customStyle="1" w:styleId="Antrat1Diagrama">
    <w:name w:val="Antraštė 1 Diagrama"/>
    <w:basedOn w:val="Numatytasispastraiposriftas"/>
    <w:link w:val="Antrat1"/>
    <w:uiPriority w:val="9"/>
    <w:rsid w:val="00AE74AB"/>
    <w:rPr>
      <w:rFonts w:ascii="Times New Roman" w:eastAsia="Times New Roman" w:hAnsi="Times New Roman" w:cs="Times New Roman"/>
      <w:b/>
      <w:bCs/>
      <w:kern w:val="36"/>
      <w:sz w:val="48"/>
      <w:szCs w:val="48"/>
      <w:lang w:eastAsia="lt-LT"/>
    </w:rPr>
  </w:style>
  <w:style w:type="paragraph" w:styleId="Sraopastraipa">
    <w:name w:val="List Paragraph"/>
    <w:basedOn w:val="prastasis"/>
    <w:uiPriority w:val="34"/>
    <w:qFormat/>
    <w:rsid w:val="00BC5B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E2C72"/>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link w:val="Antrat1Diagrama"/>
    <w:uiPriority w:val="9"/>
    <w:qFormat/>
    <w:rsid w:val="00AE74AB"/>
    <w:pPr>
      <w:spacing w:before="100" w:beforeAutospacing="1" w:after="100" w:afterAutospacing="1"/>
      <w:outlineLvl w:val="0"/>
    </w:pPr>
    <w:rPr>
      <w:b/>
      <w:bCs/>
      <w:kern w:val="36"/>
      <w:sz w:val="48"/>
      <w:szCs w:val="4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BE2C72"/>
    <w:rPr>
      <w:color w:val="0000FF"/>
      <w:u w:val="single"/>
    </w:rPr>
  </w:style>
  <w:style w:type="paragraph" w:styleId="Debesliotekstas">
    <w:name w:val="Balloon Text"/>
    <w:basedOn w:val="prastasis"/>
    <w:link w:val="DebesliotekstasDiagrama"/>
    <w:uiPriority w:val="99"/>
    <w:semiHidden/>
    <w:unhideWhenUsed/>
    <w:rsid w:val="000814B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814BA"/>
    <w:rPr>
      <w:rFonts w:ascii="Tahoma" w:eastAsia="Times New Roman" w:hAnsi="Tahoma" w:cs="Tahoma"/>
      <w:sz w:val="16"/>
      <w:szCs w:val="16"/>
      <w:lang w:eastAsia="lt-LT"/>
    </w:rPr>
  </w:style>
  <w:style w:type="character" w:customStyle="1" w:styleId="Antrat1Diagrama">
    <w:name w:val="Antraštė 1 Diagrama"/>
    <w:basedOn w:val="Numatytasispastraiposriftas"/>
    <w:link w:val="Antrat1"/>
    <w:uiPriority w:val="9"/>
    <w:rsid w:val="00AE74AB"/>
    <w:rPr>
      <w:rFonts w:ascii="Times New Roman" w:eastAsia="Times New Roman" w:hAnsi="Times New Roman" w:cs="Times New Roman"/>
      <w:b/>
      <w:bCs/>
      <w:kern w:val="36"/>
      <w:sz w:val="48"/>
      <w:szCs w:val="48"/>
      <w:lang w:eastAsia="lt-LT"/>
    </w:rPr>
  </w:style>
  <w:style w:type="paragraph" w:styleId="Sraopastraipa">
    <w:name w:val="List Paragraph"/>
    <w:basedOn w:val="prastasis"/>
    <w:uiPriority w:val="34"/>
    <w:qFormat/>
    <w:rsid w:val="00BC5B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75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www.utenainfo.lt" TargetMode="External"/><Relationship Id="rId18" Type="http://schemas.openxmlformats.org/officeDocument/2006/relationships/hyperlink" Target="http://www.utenainfo.lt" TargetMode="External"/><Relationship Id="rId3" Type="http://schemas.microsoft.com/office/2007/relationships/stylesWithEffects" Target="stylesWithEffects.xml"/><Relationship Id="rId21" Type="http://schemas.openxmlformats.org/officeDocument/2006/relationships/chart" Target="charts/chart11.xml"/><Relationship Id="rId7" Type="http://schemas.openxmlformats.org/officeDocument/2006/relationships/chart" Target="charts/chart1.xml"/><Relationship Id="rId12" Type="http://schemas.openxmlformats.org/officeDocument/2006/relationships/hyperlink" Target="http://WWW.UTENAINFO.LT" TargetMode="External"/><Relationship Id="rId17" Type="http://schemas.openxmlformats.org/officeDocument/2006/relationships/chart" Target="charts/chart9.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chart" Target="charts/chart10.xml"/><Relationship Id="rId1" Type="http://schemas.openxmlformats.org/officeDocument/2006/relationships/numbering" Target="numbering.xml"/><Relationship Id="rId6" Type="http://schemas.openxmlformats.org/officeDocument/2006/relationships/hyperlink" Target="http://www.utenainfo.lt" TargetMode="External"/><Relationship Id="rId11"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hyperlink" Target="http://www.utenainfo.lt" TargetMode="Externa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chart" Target="charts/chart6.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11.xml.rels><?xml version="1.0" encoding="UTF-8" standalone="yes"?>
<Relationships xmlns="http://schemas.openxmlformats.org/package/2006/relationships"><Relationship Id="rId1" Type="http://schemas.openxmlformats.org/officeDocument/2006/relationships/oleObject" Target="file:///C:\Users\DELL\Desktop\muzieju%20statistika%202019%20m.%20uzpildyta\bendra.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DELL\Desktop\Statistika\2019%20m\Statistikos%202019%20grafikai.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ELL\Desktop\Statistika\2019%20m\Statistikos%202019%20grafikai.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ELL\Desktop\Statistika\2019%20m\Statistikos%202019%20grafikai.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ELL\Desktop\Statistika\2019%20m\Statistikos%202019%20grafikai.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DELL\Desktop\Statistika\2019%20m\Statistikos%202019%20grafikai.xlsx" TargetMode="External"/></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0.15455205599300087"/>
          <c:y val="2.3148148148148147E-3"/>
          <c:w val="0.68595144356955384"/>
          <c:h val="0.90740740740740744"/>
        </c:manualLayout>
      </c:layout>
      <c:pie3DChart>
        <c:varyColors val="1"/>
        <c:ser>
          <c:idx val="0"/>
          <c:order val="0"/>
          <c:explosion val="25"/>
          <c:dPt>
            <c:idx val="0"/>
            <c:bubble3D val="0"/>
            <c:spPr>
              <a:solidFill>
                <a:srgbClr val="FFFF00"/>
              </a:solidFill>
            </c:spPr>
          </c:dPt>
          <c:dPt>
            <c:idx val="1"/>
            <c:bubble3D val="0"/>
            <c:spPr>
              <a:solidFill>
                <a:schemeClr val="tx2">
                  <a:lumMod val="60000"/>
                  <a:lumOff val="40000"/>
                </a:schemeClr>
              </a:solidFill>
            </c:spPr>
          </c:dPt>
          <c:dLbls>
            <c:txPr>
              <a:bodyPr/>
              <a:lstStyle/>
              <a:p>
                <a:pPr>
                  <a:defRPr sz="1200" b="0"/>
                </a:pPr>
                <a:endParaRPr lang="lt-LT"/>
              </a:p>
            </c:txPr>
            <c:showLegendKey val="0"/>
            <c:showVal val="0"/>
            <c:showCatName val="0"/>
            <c:showSerName val="0"/>
            <c:showPercent val="1"/>
            <c:showBubbleSize val="0"/>
            <c:showLeaderLines val="1"/>
          </c:dLbls>
          <c:cat>
            <c:strRef>
              <c:f>'lankytoju statistika'!$A$18:$A$19</c:f>
              <c:strCache>
                <c:ptCount val="2"/>
                <c:pt idx="0">
                  <c:v>Stoties g. skyrius</c:v>
                </c:pt>
                <c:pt idx="1">
                  <c:v>Taurapilio skyrius</c:v>
                </c:pt>
              </c:strCache>
            </c:strRef>
          </c:cat>
          <c:val>
            <c:numRef>
              <c:f>'lankytoju statistika'!$B$18:$B$19</c:f>
              <c:numCache>
                <c:formatCode>General</c:formatCode>
                <c:ptCount val="2"/>
                <c:pt idx="0">
                  <c:v>7107</c:v>
                </c:pt>
                <c:pt idx="1">
                  <c:v>3039</c:v>
                </c:pt>
              </c:numCache>
            </c:numRef>
          </c:val>
        </c:ser>
        <c:dLbls>
          <c:showLegendKey val="0"/>
          <c:showVal val="0"/>
          <c:showCatName val="0"/>
          <c:showSerName val="0"/>
          <c:showPercent val="1"/>
          <c:showBubbleSize val="0"/>
          <c:showLeaderLines val="1"/>
        </c:dLbls>
      </c:pie3DChart>
    </c:plotArea>
    <c:legend>
      <c:legendPos val="r"/>
      <c:layout>
        <c:manualLayout>
          <c:xMode val="edge"/>
          <c:yMode val="edge"/>
          <c:x val="0.15338888888888888"/>
          <c:y val="0.7866531787693205"/>
          <c:w val="0.63827777777777783"/>
          <c:h val="0.16743438320209975"/>
        </c:manualLayout>
      </c:layout>
      <c:overlay val="0"/>
      <c:txPr>
        <a:bodyPr/>
        <a:lstStyle/>
        <a:p>
          <a:pPr>
            <a:defRPr sz="1200"/>
          </a:pPr>
          <a:endParaRPr lang="lt-LT"/>
        </a:p>
      </c:txPr>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2">
                <a:lumMod val="60000"/>
                <a:lumOff val="40000"/>
              </a:schemeClr>
            </a:solidFill>
            <a:ln w="19050"/>
          </c:spPr>
          <c:invertIfNegative val="0"/>
          <c:dLbls>
            <c:dLbl>
              <c:idx val="0"/>
              <c:layout>
                <c:manualLayout>
                  <c:x val="0"/>
                  <c:y val="2.2222222222222223E-2"/>
                </c:manualLayout>
              </c:layout>
              <c:dLblPos val="outEnd"/>
              <c:showLegendKey val="0"/>
              <c:showVal val="1"/>
              <c:showCatName val="0"/>
              <c:showSerName val="0"/>
              <c:showPercent val="0"/>
              <c:showBubbleSize val="0"/>
            </c:dLbl>
            <c:dLbl>
              <c:idx val="1"/>
              <c:layout>
                <c:manualLayout>
                  <c:x val="0"/>
                  <c:y val="2.2222222222222223E-2"/>
                </c:manualLayout>
              </c:layout>
              <c:dLblPos val="outEnd"/>
              <c:showLegendKey val="0"/>
              <c:showVal val="1"/>
              <c:showCatName val="0"/>
              <c:showSerName val="0"/>
              <c:showPercent val="0"/>
              <c:showBubbleSize val="0"/>
            </c:dLbl>
            <c:dLbl>
              <c:idx val="2"/>
              <c:layout>
                <c:manualLayout>
                  <c:x val="-3.0631778004340463E-17"/>
                  <c:y val="2.6851851851851852E-2"/>
                </c:manualLayout>
              </c:layout>
              <c:dLblPos val="outEnd"/>
              <c:showLegendKey val="0"/>
              <c:showVal val="1"/>
              <c:showCatName val="0"/>
              <c:showSerName val="0"/>
              <c:showPercent val="0"/>
              <c:showBubbleSize val="0"/>
            </c:dLbl>
            <c:dLbl>
              <c:idx val="3"/>
              <c:layout>
                <c:manualLayout>
                  <c:x val="0"/>
                  <c:y val="1.6796077573636672E-2"/>
                </c:manualLayout>
              </c:layout>
              <c:dLblPos val="outEnd"/>
              <c:showLegendKey val="0"/>
              <c:showVal val="1"/>
              <c:showCatName val="0"/>
              <c:showSerName val="0"/>
              <c:showPercent val="0"/>
              <c:showBubbleSize val="0"/>
            </c:dLbl>
            <c:dLbl>
              <c:idx val="4"/>
              <c:layout>
                <c:manualLayout>
                  <c:x val="-1.6708435562865752E-3"/>
                  <c:y val="2.4780548264800275E-2"/>
                </c:manualLayout>
              </c:layout>
              <c:dLblPos val="outEnd"/>
              <c:showLegendKey val="0"/>
              <c:showVal val="1"/>
              <c:showCatName val="0"/>
              <c:showSerName val="0"/>
              <c:showPercent val="0"/>
              <c:showBubbleSize val="0"/>
            </c:dLbl>
            <c:dLbl>
              <c:idx val="5"/>
              <c:layout>
                <c:manualLayout>
                  <c:x val="0"/>
                  <c:y val="2.2267060367454111E-2"/>
                </c:manualLayout>
              </c:layout>
              <c:dLblPos val="outEnd"/>
              <c:showLegendKey val="0"/>
              <c:showVal val="1"/>
              <c:showCatName val="0"/>
              <c:showSerName val="0"/>
              <c:showPercent val="0"/>
              <c:showBubbleSize val="0"/>
            </c:dLbl>
            <c:dLbl>
              <c:idx val="6"/>
              <c:layout>
                <c:manualLayout>
                  <c:x val="-1.6709751187713221E-3"/>
                  <c:y val="2.0595290172061867E-2"/>
                </c:manualLayout>
              </c:layout>
              <c:dLblPos val="outEnd"/>
              <c:showLegendKey val="0"/>
              <c:showVal val="1"/>
              <c:showCatName val="0"/>
              <c:showSerName val="0"/>
              <c:showPercent val="0"/>
              <c:showBubbleSize val="0"/>
            </c:dLbl>
            <c:dLbl>
              <c:idx val="7"/>
              <c:layout>
                <c:manualLayout>
                  <c:x val="-6.1263556008680925E-17"/>
                  <c:y val="1.7608267716535477E-2"/>
                </c:manualLayout>
              </c:layout>
              <c:dLblPos val="outEnd"/>
              <c:showLegendKey val="0"/>
              <c:showVal val="1"/>
              <c:showCatName val="0"/>
              <c:showSerName val="0"/>
              <c:showPercent val="0"/>
              <c:showBubbleSize val="0"/>
            </c:dLbl>
            <c:dLbl>
              <c:idx val="8"/>
              <c:layout>
                <c:manualLayout>
                  <c:x val="0"/>
                  <c:y val="2.1917104111986E-2"/>
                </c:manualLayout>
              </c:layout>
              <c:dLblPos val="outEnd"/>
              <c:showLegendKey val="0"/>
              <c:showVal val="1"/>
              <c:showCatName val="0"/>
              <c:showSerName val="0"/>
              <c:showPercent val="0"/>
              <c:showBubbleSize val="0"/>
            </c:dLbl>
            <c:dLbl>
              <c:idx val="9"/>
              <c:layout>
                <c:manualLayout>
                  <c:x val="0"/>
                  <c:y val="1.9666083406240886E-2"/>
                </c:manualLayout>
              </c:layout>
              <c:dLblPos val="outEnd"/>
              <c:showLegendKey val="0"/>
              <c:showVal val="1"/>
              <c:showCatName val="0"/>
              <c:showSerName val="0"/>
              <c:showPercent val="0"/>
              <c:showBubbleSize val="0"/>
            </c:dLbl>
            <c:dLbl>
              <c:idx val="11"/>
              <c:layout>
                <c:manualLayout>
                  <c:x val="0"/>
                  <c:y val="2.5905511811023622E-2"/>
                </c:manualLayout>
              </c:layout>
              <c:dLblPos val="outEnd"/>
              <c:showLegendKey val="0"/>
              <c:showVal val="1"/>
              <c:showCatName val="0"/>
              <c:showSerName val="0"/>
              <c:showPercent val="0"/>
              <c:showBubbleSize val="0"/>
            </c:dLbl>
            <c:dLbl>
              <c:idx val="12"/>
              <c:layout>
                <c:manualLayout>
                  <c:x val="0"/>
                  <c:y val="2.3177311169437154E-2"/>
                </c:manualLayout>
              </c:layout>
              <c:dLblPos val="outEnd"/>
              <c:showLegendKey val="0"/>
              <c:showVal val="1"/>
              <c:showCatName val="0"/>
              <c:showSerName val="0"/>
              <c:showPercent val="0"/>
              <c:showBubbleSize val="0"/>
            </c:dLbl>
            <c:dLbl>
              <c:idx val="13"/>
              <c:layout>
                <c:manualLayout>
                  <c:x val="0"/>
                  <c:y val="1.4722951297754448E-2"/>
                </c:manualLayout>
              </c:layout>
              <c:dLblPos val="outEnd"/>
              <c:showLegendKey val="0"/>
              <c:showVal val="1"/>
              <c:showCatName val="0"/>
              <c:showSerName val="0"/>
              <c:showPercent val="0"/>
              <c:showBubbleSize val="0"/>
            </c:dLbl>
            <c:dLblPos val="inEnd"/>
            <c:showLegendKey val="0"/>
            <c:showVal val="1"/>
            <c:showCatName val="0"/>
            <c:showSerName val="0"/>
            <c:showPercent val="0"/>
            <c:showBubbleSize val="0"/>
            <c:showLeaderLines val="0"/>
          </c:dLbls>
          <c:cat>
            <c:strRef>
              <c:f>Lapas1!$A$46:$A$59</c:f>
              <c:strCache>
                <c:ptCount val="14"/>
                <c:pt idx="0">
                  <c:v>Utenos kraštotyros muziejus</c:v>
                </c:pt>
                <c:pt idx="1">
                  <c:v>Triušiukų slėnis</c:v>
                </c:pt>
                <c:pt idx="2">
                  <c:v>V.Valiušio keramikos muziejus</c:v>
                </c:pt>
                <c:pt idx="3">
                  <c:v>A. ir M. Miškinių etnografinė sodyba</c:v>
                </c:pt>
                <c:pt idx="4">
                  <c:v>Laisvės kovų muziejus</c:v>
                </c:pt>
                <c:pt idx="5">
                  <c:v>G.Mazūro keramikos studija</c:v>
                </c:pt>
                <c:pt idx="6">
                  <c:v>Tauragnų krašto muziejus</c:v>
                </c:pt>
                <c:pt idx="7">
                  <c:v>Aludarystės pažinimo centras</c:v>
                </c:pt>
                <c:pt idx="8">
                  <c:v>Utenos meno centras</c:v>
                </c:pt>
                <c:pt idx="9">
                  <c:v>Tradicinių amatų centras „Svirnas“</c:v>
                </c:pt>
                <c:pt idx="10">
                  <c:v>Senasis paštas</c:v>
                </c:pt>
                <c:pt idx="11">
                  <c:v>Raganų muziejus</c:v>
                </c:pt>
                <c:pt idx="12">
                  <c:v>Namelis „Drakono džiunglės“</c:v>
                </c:pt>
                <c:pt idx="13">
                  <c:v>Prieškario ūkininko sodyba</c:v>
                </c:pt>
              </c:strCache>
            </c:strRef>
          </c:cat>
          <c:val>
            <c:numRef>
              <c:f>Lapas1!$B$46:$B$59</c:f>
              <c:numCache>
                <c:formatCode>General</c:formatCode>
                <c:ptCount val="14"/>
                <c:pt idx="0">
                  <c:v>9941</c:v>
                </c:pt>
                <c:pt idx="1">
                  <c:v>8065</c:v>
                </c:pt>
                <c:pt idx="2">
                  <c:v>6163</c:v>
                </c:pt>
                <c:pt idx="3">
                  <c:v>1605</c:v>
                </c:pt>
                <c:pt idx="4">
                  <c:v>1570</c:v>
                </c:pt>
                <c:pt idx="5">
                  <c:v>1501</c:v>
                </c:pt>
                <c:pt idx="6">
                  <c:v>1328</c:v>
                </c:pt>
                <c:pt idx="7">
                  <c:v>1246</c:v>
                </c:pt>
                <c:pt idx="8">
                  <c:v>983</c:v>
                </c:pt>
                <c:pt idx="9">
                  <c:v>667</c:v>
                </c:pt>
                <c:pt idx="10">
                  <c:v>472</c:v>
                </c:pt>
                <c:pt idx="11">
                  <c:v>457</c:v>
                </c:pt>
                <c:pt idx="12">
                  <c:v>255</c:v>
                </c:pt>
                <c:pt idx="13">
                  <c:v>150</c:v>
                </c:pt>
              </c:numCache>
            </c:numRef>
          </c:val>
        </c:ser>
        <c:dLbls>
          <c:showLegendKey val="0"/>
          <c:showVal val="0"/>
          <c:showCatName val="0"/>
          <c:showSerName val="0"/>
          <c:showPercent val="0"/>
          <c:showBubbleSize val="0"/>
        </c:dLbls>
        <c:gapWidth val="31"/>
        <c:overlap val="40"/>
        <c:axId val="106242048"/>
        <c:axId val="106243584"/>
      </c:barChart>
      <c:catAx>
        <c:axId val="106242048"/>
        <c:scaling>
          <c:orientation val="minMax"/>
        </c:scaling>
        <c:delete val="0"/>
        <c:axPos val="b"/>
        <c:majorTickMark val="none"/>
        <c:minorTickMark val="none"/>
        <c:tickLblPos val="nextTo"/>
        <c:txPr>
          <a:bodyPr rot="-5400000" vert="horz" anchor="t" anchorCtr="1"/>
          <a:lstStyle/>
          <a:p>
            <a:pPr>
              <a:defRPr/>
            </a:pPr>
            <a:endParaRPr lang="lt-LT"/>
          </a:p>
        </c:txPr>
        <c:crossAx val="106243584"/>
        <c:crosses val="autoZero"/>
        <c:auto val="1"/>
        <c:lblAlgn val="ctr"/>
        <c:lblOffset val="100"/>
        <c:tickLblSkip val="1"/>
        <c:noMultiLvlLbl val="0"/>
      </c:catAx>
      <c:valAx>
        <c:axId val="106243584"/>
        <c:scaling>
          <c:orientation val="minMax"/>
        </c:scaling>
        <c:delete val="0"/>
        <c:axPos val="l"/>
        <c:majorGridlines/>
        <c:numFmt formatCode="General" sourceLinked="1"/>
        <c:majorTickMark val="none"/>
        <c:minorTickMark val="none"/>
        <c:tickLblPos val="nextTo"/>
        <c:crossAx val="106242048"/>
        <c:crosses val="autoZero"/>
        <c:crossBetween val="between"/>
      </c:valAx>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invertIfNegative val="0"/>
          <c:cat>
            <c:strRef>
              <c:f>Lapas1!$A$64:$A$94</c:f>
              <c:strCache>
                <c:ptCount val="31"/>
                <c:pt idx="0">
                  <c:v>Latvija</c:v>
                </c:pt>
                <c:pt idx="1">
                  <c:v>Didžioji Britanija</c:v>
                </c:pt>
                <c:pt idx="2">
                  <c:v>Lenkija</c:v>
                </c:pt>
                <c:pt idx="3">
                  <c:v>Nenustatyta</c:v>
                </c:pt>
                <c:pt idx="4">
                  <c:v>Airija</c:v>
                </c:pt>
                <c:pt idx="5">
                  <c:v>Ukraina</c:v>
                </c:pt>
                <c:pt idx="6">
                  <c:v>Rusija</c:v>
                </c:pt>
                <c:pt idx="7">
                  <c:v>Vokietija</c:v>
                </c:pt>
                <c:pt idx="8">
                  <c:v>Ispanija</c:v>
                </c:pt>
                <c:pt idx="9">
                  <c:v>Estija</c:v>
                </c:pt>
                <c:pt idx="10">
                  <c:v>Baltarusija</c:v>
                </c:pt>
                <c:pt idx="11">
                  <c:v>JAV</c:v>
                </c:pt>
                <c:pt idx="12">
                  <c:v>Danija</c:v>
                </c:pt>
                <c:pt idx="13">
                  <c:v>Palestina</c:v>
                </c:pt>
                <c:pt idx="14">
                  <c:v>Graikija</c:v>
                </c:pt>
                <c:pt idx="15">
                  <c:v>Norvegija</c:v>
                </c:pt>
                <c:pt idx="16">
                  <c:v>Rumunija</c:v>
                </c:pt>
                <c:pt idx="17">
                  <c:v>Italija</c:v>
                </c:pt>
                <c:pt idx="18">
                  <c:v>Sakartvelas</c:v>
                </c:pt>
                <c:pt idx="19">
                  <c:v>Prancūzija</c:v>
                </c:pt>
                <c:pt idx="20">
                  <c:v>Turkija</c:v>
                </c:pt>
                <c:pt idx="21">
                  <c:v>Belgija</c:v>
                </c:pt>
                <c:pt idx="22">
                  <c:v>Japonija</c:v>
                </c:pt>
                <c:pt idx="23">
                  <c:v>Portugalija</c:v>
                </c:pt>
                <c:pt idx="24">
                  <c:v>Suomija</c:v>
                </c:pt>
                <c:pt idx="25">
                  <c:v>Kipras</c:v>
                </c:pt>
                <c:pt idx="26">
                  <c:v>Slovakija</c:v>
                </c:pt>
                <c:pt idx="27">
                  <c:v>Kinija</c:v>
                </c:pt>
                <c:pt idx="28">
                  <c:v>Indija</c:v>
                </c:pt>
                <c:pt idx="29">
                  <c:v>Australija</c:v>
                </c:pt>
                <c:pt idx="30">
                  <c:v>Iranas</c:v>
                </c:pt>
              </c:strCache>
            </c:strRef>
          </c:cat>
          <c:val>
            <c:numRef>
              <c:f>Lapas1!$B$64:$B$94</c:f>
            </c:numRef>
          </c:val>
        </c:ser>
        <c:ser>
          <c:idx val="1"/>
          <c:order val="1"/>
          <c:invertIfNegative val="0"/>
          <c:cat>
            <c:strRef>
              <c:f>Lapas1!$A$64:$A$94</c:f>
              <c:strCache>
                <c:ptCount val="31"/>
                <c:pt idx="0">
                  <c:v>Latvija</c:v>
                </c:pt>
                <c:pt idx="1">
                  <c:v>Didžioji Britanija</c:v>
                </c:pt>
                <c:pt idx="2">
                  <c:v>Lenkija</c:v>
                </c:pt>
                <c:pt idx="3">
                  <c:v>Nenustatyta</c:v>
                </c:pt>
                <c:pt idx="4">
                  <c:v>Airija</c:v>
                </c:pt>
                <c:pt idx="5">
                  <c:v>Ukraina</c:v>
                </c:pt>
                <c:pt idx="6">
                  <c:v>Rusija</c:v>
                </c:pt>
                <c:pt idx="7">
                  <c:v>Vokietija</c:v>
                </c:pt>
                <c:pt idx="8">
                  <c:v>Ispanija</c:v>
                </c:pt>
                <c:pt idx="9">
                  <c:v>Estija</c:v>
                </c:pt>
                <c:pt idx="10">
                  <c:v>Baltarusija</c:v>
                </c:pt>
                <c:pt idx="11">
                  <c:v>JAV</c:v>
                </c:pt>
                <c:pt idx="12">
                  <c:v>Danija</c:v>
                </c:pt>
                <c:pt idx="13">
                  <c:v>Palestina</c:v>
                </c:pt>
                <c:pt idx="14">
                  <c:v>Graikija</c:v>
                </c:pt>
                <c:pt idx="15">
                  <c:v>Norvegija</c:v>
                </c:pt>
                <c:pt idx="16">
                  <c:v>Rumunija</c:v>
                </c:pt>
                <c:pt idx="17">
                  <c:v>Italija</c:v>
                </c:pt>
                <c:pt idx="18">
                  <c:v>Sakartvelas</c:v>
                </c:pt>
                <c:pt idx="19">
                  <c:v>Prancūzija</c:v>
                </c:pt>
                <c:pt idx="20">
                  <c:v>Turkija</c:v>
                </c:pt>
                <c:pt idx="21">
                  <c:v>Belgija</c:v>
                </c:pt>
                <c:pt idx="22">
                  <c:v>Japonija</c:v>
                </c:pt>
                <c:pt idx="23">
                  <c:v>Portugalija</c:v>
                </c:pt>
                <c:pt idx="24">
                  <c:v>Suomija</c:v>
                </c:pt>
                <c:pt idx="25">
                  <c:v>Kipras</c:v>
                </c:pt>
                <c:pt idx="26">
                  <c:v>Slovakija</c:v>
                </c:pt>
                <c:pt idx="27">
                  <c:v>Kinija</c:v>
                </c:pt>
                <c:pt idx="28">
                  <c:v>Indija</c:v>
                </c:pt>
                <c:pt idx="29">
                  <c:v>Australija</c:v>
                </c:pt>
                <c:pt idx="30">
                  <c:v>Iranas</c:v>
                </c:pt>
              </c:strCache>
            </c:strRef>
          </c:cat>
          <c:val>
            <c:numRef>
              <c:f>Lapas1!$C$64:$C$94</c:f>
            </c:numRef>
          </c:val>
        </c:ser>
        <c:ser>
          <c:idx val="2"/>
          <c:order val="2"/>
          <c:invertIfNegative val="0"/>
          <c:cat>
            <c:strRef>
              <c:f>Lapas1!$A$64:$A$94</c:f>
              <c:strCache>
                <c:ptCount val="31"/>
                <c:pt idx="0">
                  <c:v>Latvija</c:v>
                </c:pt>
                <c:pt idx="1">
                  <c:v>Didžioji Britanija</c:v>
                </c:pt>
                <c:pt idx="2">
                  <c:v>Lenkija</c:v>
                </c:pt>
                <c:pt idx="3">
                  <c:v>Nenustatyta</c:v>
                </c:pt>
                <c:pt idx="4">
                  <c:v>Airija</c:v>
                </c:pt>
                <c:pt idx="5">
                  <c:v>Ukraina</c:v>
                </c:pt>
                <c:pt idx="6">
                  <c:v>Rusija</c:v>
                </c:pt>
                <c:pt idx="7">
                  <c:v>Vokietija</c:v>
                </c:pt>
                <c:pt idx="8">
                  <c:v>Ispanija</c:v>
                </c:pt>
                <c:pt idx="9">
                  <c:v>Estija</c:v>
                </c:pt>
                <c:pt idx="10">
                  <c:v>Baltarusija</c:v>
                </c:pt>
                <c:pt idx="11">
                  <c:v>JAV</c:v>
                </c:pt>
                <c:pt idx="12">
                  <c:v>Danija</c:v>
                </c:pt>
                <c:pt idx="13">
                  <c:v>Palestina</c:v>
                </c:pt>
                <c:pt idx="14">
                  <c:v>Graikija</c:v>
                </c:pt>
                <c:pt idx="15">
                  <c:v>Norvegija</c:v>
                </c:pt>
                <c:pt idx="16">
                  <c:v>Rumunija</c:v>
                </c:pt>
                <c:pt idx="17">
                  <c:v>Italija</c:v>
                </c:pt>
                <c:pt idx="18">
                  <c:v>Sakartvelas</c:v>
                </c:pt>
                <c:pt idx="19">
                  <c:v>Prancūzija</c:v>
                </c:pt>
                <c:pt idx="20">
                  <c:v>Turkija</c:v>
                </c:pt>
                <c:pt idx="21">
                  <c:v>Belgija</c:v>
                </c:pt>
                <c:pt idx="22">
                  <c:v>Japonija</c:v>
                </c:pt>
                <c:pt idx="23">
                  <c:v>Portugalija</c:v>
                </c:pt>
                <c:pt idx="24">
                  <c:v>Suomija</c:v>
                </c:pt>
                <c:pt idx="25">
                  <c:v>Kipras</c:v>
                </c:pt>
                <c:pt idx="26">
                  <c:v>Slovakija</c:v>
                </c:pt>
                <c:pt idx="27">
                  <c:v>Kinija</c:v>
                </c:pt>
                <c:pt idx="28">
                  <c:v>Indija</c:v>
                </c:pt>
                <c:pt idx="29">
                  <c:v>Australija</c:v>
                </c:pt>
                <c:pt idx="30">
                  <c:v>Iranas</c:v>
                </c:pt>
              </c:strCache>
            </c:strRef>
          </c:cat>
          <c:val>
            <c:numRef>
              <c:f>Lapas1!$D$64:$D$94</c:f>
            </c:numRef>
          </c:val>
        </c:ser>
        <c:ser>
          <c:idx val="3"/>
          <c:order val="3"/>
          <c:invertIfNegative val="0"/>
          <c:cat>
            <c:strRef>
              <c:f>Lapas1!$A$64:$A$94</c:f>
              <c:strCache>
                <c:ptCount val="31"/>
                <c:pt idx="0">
                  <c:v>Latvija</c:v>
                </c:pt>
                <c:pt idx="1">
                  <c:v>Didžioji Britanija</c:v>
                </c:pt>
                <c:pt idx="2">
                  <c:v>Lenkija</c:v>
                </c:pt>
                <c:pt idx="3">
                  <c:v>Nenustatyta</c:v>
                </c:pt>
                <c:pt idx="4">
                  <c:v>Airija</c:v>
                </c:pt>
                <c:pt idx="5">
                  <c:v>Ukraina</c:v>
                </c:pt>
                <c:pt idx="6">
                  <c:v>Rusija</c:v>
                </c:pt>
                <c:pt idx="7">
                  <c:v>Vokietija</c:v>
                </c:pt>
                <c:pt idx="8">
                  <c:v>Ispanija</c:v>
                </c:pt>
                <c:pt idx="9">
                  <c:v>Estija</c:v>
                </c:pt>
                <c:pt idx="10">
                  <c:v>Baltarusija</c:v>
                </c:pt>
                <c:pt idx="11">
                  <c:v>JAV</c:v>
                </c:pt>
                <c:pt idx="12">
                  <c:v>Danija</c:v>
                </c:pt>
                <c:pt idx="13">
                  <c:v>Palestina</c:v>
                </c:pt>
                <c:pt idx="14">
                  <c:v>Graikija</c:v>
                </c:pt>
                <c:pt idx="15">
                  <c:v>Norvegija</c:v>
                </c:pt>
                <c:pt idx="16">
                  <c:v>Rumunija</c:v>
                </c:pt>
                <c:pt idx="17">
                  <c:v>Italija</c:v>
                </c:pt>
                <c:pt idx="18">
                  <c:v>Sakartvelas</c:v>
                </c:pt>
                <c:pt idx="19">
                  <c:v>Prancūzija</c:v>
                </c:pt>
                <c:pt idx="20">
                  <c:v>Turkija</c:v>
                </c:pt>
                <c:pt idx="21">
                  <c:v>Belgija</c:v>
                </c:pt>
                <c:pt idx="22">
                  <c:v>Japonija</c:v>
                </c:pt>
                <c:pt idx="23">
                  <c:v>Portugalija</c:v>
                </c:pt>
                <c:pt idx="24">
                  <c:v>Suomija</c:v>
                </c:pt>
                <c:pt idx="25">
                  <c:v>Kipras</c:v>
                </c:pt>
                <c:pt idx="26">
                  <c:v>Slovakija</c:v>
                </c:pt>
                <c:pt idx="27">
                  <c:v>Kinija</c:v>
                </c:pt>
                <c:pt idx="28">
                  <c:v>Indija</c:v>
                </c:pt>
                <c:pt idx="29">
                  <c:v>Australija</c:v>
                </c:pt>
                <c:pt idx="30">
                  <c:v>Iranas</c:v>
                </c:pt>
              </c:strCache>
            </c:strRef>
          </c:cat>
          <c:val>
            <c:numRef>
              <c:f>Lapas1!$E$64:$E$94</c:f>
            </c:numRef>
          </c:val>
        </c:ser>
        <c:ser>
          <c:idx val="4"/>
          <c:order val="4"/>
          <c:invertIfNegative val="0"/>
          <c:cat>
            <c:strRef>
              <c:f>Lapas1!$A$64:$A$94</c:f>
              <c:strCache>
                <c:ptCount val="31"/>
                <c:pt idx="0">
                  <c:v>Latvija</c:v>
                </c:pt>
                <c:pt idx="1">
                  <c:v>Didžioji Britanija</c:v>
                </c:pt>
                <c:pt idx="2">
                  <c:v>Lenkija</c:v>
                </c:pt>
                <c:pt idx="3">
                  <c:v>Nenustatyta</c:v>
                </c:pt>
                <c:pt idx="4">
                  <c:v>Airija</c:v>
                </c:pt>
                <c:pt idx="5">
                  <c:v>Ukraina</c:v>
                </c:pt>
                <c:pt idx="6">
                  <c:v>Rusija</c:v>
                </c:pt>
                <c:pt idx="7">
                  <c:v>Vokietija</c:v>
                </c:pt>
                <c:pt idx="8">
                  <c:v>Ispanija</c:v>
                </c:pt>
                <c:pt idx="9">
                  <c:v>Estija</c:v>
                </c:pt>
                <c:pt idx="10">
                  <c:v>Baltarusija</c:v>
                </c:pt>
                <c:pt idx="11">
                  <c:v>JAV</c:v>
                </c:pt>
                <c:pt idx="12">
                  <c:v>Danija</c:v>
                </c:pt>
                <c:pt idx="13">
                  <c:v>Palestina</c:v>
                </c:pt>
                <c:pt idx="14">
                  <c:v>Graikija</c:v>
                </c:pt>
                <c:pt idx="15">
                  <c:v>Norvegija</c:v>
                </c:pt>
                <c:pt idx="16">
                  <c:v>Rumunija</c:v>
                </c:pt>
                <c:pt idx="17">
                  <c:v>Italija</c:v>
                </c:pt>
                <c:pt idx="18">
                  <c:v>Sakartvelas</c:v>
                </c:pt>
                <c:pt idx="19">
                  <c:v>Prancūzija</c:v>
                </c:pt>
                <c:pt idx="20">
                  <c:v>Turkija</c:v>
                </c:pt>
                <c:pt idx="21">
                  <c:v>Belgija</c:v>
                </c:pt>
                <c:pt idx="22">
                  <c:v>Japonija</c:v>
                </c:pt>
                <c:pt idx="23">
                  <c:v>Portugalija</c:v>
                </c:pt>
                <c:pt idx="24">
                  <c:v>Suomija</c:v>
                </c:pt>
                <c:pt idx="25">
                  <c:v>Kipras</c:v>
                </c:pt>
                <c:pt idx="26">
                  <c:v>Slovakija</c:v>
                </c:pt>
                <c:pt idx="27">
                  <c:v>Kinija</c:v>
                </c:pt>
                <c:pt idx="28">
                  <c:v>Indija</c:v>
                </c:pt>
                <c:pt idx="29">
                  <c:v>Australija</c:v>
                </c:pt>
                <c:pt idx="30">
                  <c:v>Iranas</c:v>
                </c:pt>
              </c:strCache>
            </c:strRef>
          </c:cat>
          <c:val>
            <c:numRef>
              <c:f>Lapas1!$F$64:$F$94</c:f>
            </c:numRef>
          </c:val>
        </c:ser>
        <c:ser>
          <c:idx val="5"/>
          <c:order val="5"/>
          <c:invertIfNegative val="0"/>
          <c:cat>
            <c:strRef>
              <c:f>Lapas1!$A$64:$A$94</c:f>
              <c:strCache>
                <c:ptCount val="31"/>
                <c:pt idx="0">
                  <c:v>Latvija</c:v>
                </c:pt>
                <c:pt idx="1">
                  <c:v>Didžioji Britanija</c:v>
                </c:pt>
                <c:pt idx="2">
                  <c:v>Lenkija</c:v>
                </c:pt>
                <c:pt idx="3">
                  <c:v>Nenustatyta</c:v>
                </c:pt>
                <c:pt idx="4">
                  <c:v>Airija</c:v>
                </c:pt>
                <c:pt idx="5">
                  <c:v>Ukraina</c:v>
                </c:pt>
                <c:pt idx="6">
                  <c:v>Rusija</c:v>
                </c:pt>
                <c:pt idx="7">
                  <c:v>Vokietija</c:v>
                </c:pt>
                <c:pt idx="8">
                  <c:v>Ispanija</c:v>
                </c:pt>
                <c:pt idx="9">
                  <c:v>Estija</c:v>
                </c:pt>
                <c:pt idx="10">
                  <c:v>Baltarusija</c:v>
                </c:pt>
                <c:pt idx="11">
                  <c:v>JAV</c:v>
                </c:pt>
                <c:pt idx="12">
                  <c:v>Danija</c:v>
                </c:pt>
                <c:pt idx="13">
                  <c:v>Palestina</c:v>
                </c:pt>
                <c:pt idx="14">
                  <c:v>Graikija</c:v>
                </c:pt>
                <c:pt idx="15">
                  <c:v>Norvegija</c:v>
                </c:pt>
                <c:pt idx="16">
                  <c:v>Rumunija</c:v>
                </c:pt>
                <c:pt idx="17">
                  <c:v>Italija</c:v>
                </c:pt>
                <c:pt idx="18">
                  <c:v>Sakartvelas</c:v>
                </c:pt>
                <c:pt idx="19">
                  <c:v>Prancūzija</c:v>
                </c:pt>
                <c:pt idx="20">
                  <c:v>Turkija</c:v>
                </c:pt>
                <c:pt idx="21">
                  <c:v>Belgija</c:v>
                </c:pt>
                <c:pt idx="22">
                  <c:v>Japonija</c:v>
                </c:pt>
                <c:pt idx="23">
                  <c:v>Portugalija</c:v>
                </c:pt>
                <c:pt idx="24">
                  <c:v>Suomija</c:v>
                </c:pt>
                <c:pt idx="25">
                  <c:v>Kipras</c:v>
                </c:pt>
                <c:pt idx="26">
                  <c:v>Slovakija</c:v>
                </c:pt>
                <c:pt idx="27">
                  <c:v>Kinija</c:v>
                </c:pt>
                <c:pt idx="28">
                  <c:v>Indija</c:v>
                </c:pt>
                <c:pt idx="29">
                  <c:v>Australija</c:v>
                </c:pt>
                <c:pt idx="30">
                  <c:v>Iranas</c:v>
                </c:pt>
              </c:strCache>
            </c:strRef>
          </c:cat>
          <c:val>
            <c:numRef>
              <c:f>Lapas1!$G$64:$G$94</c:f>
            </c:numRef>
          </c:val>
        </c:ser>
        <c:ser>
          <c:idx val="6"/>
          <c:order val="6"/>
          <c:invertIfNegative val="0"/>
          <c:cat>
            <c:strRef>
              <c:f>Lapas1!$A$64:$A$94</c:f>
              <c:strCache>
                <c:ptCount val="31"/>
                <c:pt idx="0">
                  <c:v>Latvija</c:v>
                </c:pt>
                <c:pt idx="1">
                  <c:v>Didžioji Britanija</c:v>
                </c:pt>
                <c:pt idx="2">
                  <c:v>Lenkija</c:v>
                </c:pt>
                <c:pt idx="3">
                  <c:v>Nenustatyta</c:v>
                </c:pt>
                <c:pt idx="4">
                  <c:v>Airija</c:v>
                </c:pt>
                <c:pt idx="5">
                  <c:v>Ukraina</c:v>
                </c:pt>
                <c:pt idx="6">
                  <c:v>Rusija</c:v>
                </c:pt>
                <c:pt idx="7">
                  <c:v>Vokietija</c:v>
                </c:pt>
                <c:pt idx="8">
                  <c:v>Ispanija</c:v>
                </c:pt>
                <c:pt idx="9">
                  <c:v>Estija</c:v>
                </c:pt>
                <c:pt idx="10">
                  <c:v>Baltarusija</c:v>
                </c:pt>
                <c:pt idx="11">
                  <c:v>JAV</c:v>
                </c:pt>
                <c:pt idx="12">
                  <c:v>Danija</c:v>
                </c:pt>
                <c:pt idx="13">
                  <c:v>Palestina</c:v>
                </c:pt>
                <c:pt idx="14">
                  <c:v>Graikija</c:v>
                </c:pt>
                <c:pt idx="15">
                  <c:v>Norvegija</c:v>
                </c:pt>
                <c:pt idx="16">
                  <c:v>Rumunija</c:v>
                </c:pt>
                <c:pt idx="17">
                  <c:v>Italija</c:v>
                </c:pt>
                <c:pt idx="18">
                  <c:v>Sakartvelas</c:v>
                </c:pt>
                <c:pt idx="19">
                  <c:v>Prancūzija</c:v>
                </c:pt>
                <c:pt idx="20">
                  <c:v>Turkija</c:v>
                </c:pt>
                <c:pt idx="21">
                  <c:v>Belgija</c:v>
                </c:pt>
                <c:pt idx="22">
                  <c:v>Japonija</c:v>
                </c:pt>
                <c:pt idx="23">
                  <c:v>Portugalija</c:v>
                </c:pt>
                <c:pt idx="24">
                  <c:v>Suomija</c:v>
                </c:pt>
                <c:pt idx="25">
                  <c:v>Kipras</c:v>
                </c:pt>
                <c:pt idx="26">
                  <c:v>Slovakija</c:v>
                </c:pt>
                <c:pt idx="27">
                  <c:v>Kinija</c:v>
                </c:pt>
                <c:pt idx="28">
                  <c:v>Indija</c:v>
                </c:pt>
                <c:pt idx="29">
                  <c:v>Australija</c:v>
                </c:pt>
                <c:pt idx="30">
                  <c:v>Iranas</c:v>
                </c:pt>
              </c:strCache>
            </c:strRef>
          </c:cat>
          <c:val>
            <c:numRef>
              <c:f>Lapas1!$H$64:$H$94</c:f>
            </c:numRef>
          </c:val>
        </c:ser>
        <c:ser>
          <c:idx val="7"/>
          <c:order val="7"/>
          <c:invertIfNegative val="0"/>
          <c:cat>
            <c:strRef>
              <c:f>Lapas1!$A$64:$A$94</c:f>
              <c:strCache>
                <c:ptCount val="31"/>
                <c:pt idx="0">
                  <c:v>Latvija</c:v>
                </c:pt>
                <c:pt idx="1">
                  <c:v>Didžioji Britanija</c:v>
                </c:pt>
                <c:pt idx="2">
                  <c:v>Lenkija</c:v>
                </c:pt>
                <c:pt idx="3">
                  <c:v>Nenustatyta</c:v>
                </c:pt>
                <c:pt idx="4">
                  <c:v>Airija</c:v>
                </c:pt>
                <c:pt idx="5">
                  <c:v>Ukraina</c:v>
                </c:pt>
                <c:pt idx="6">
                  <c:v>Rusija</c:v>
                </c:pt>
                <c:pt idx="7">
                  <c:v>Vokietija</c:v>
                </c:pt>
                <c:pt idx="8">
                  <c:v>Ispanija</c:v>
                </c:pt>
                <c:pt idx="9">
                  <c:v>Estija</c:v>
                </c:pt>
                <c:pt idx="10">
                  <c:v>Baltarusija</c:v>
                </c:pt>
                <c:pt idx="11">
                  <c:v>JAV</c:v>
                </c:pt>
                <c:pt idx="12">
                  <c:v>Danija</c:v>
                </c:pt>
                <c:pt idx="13">
                  <c:v>Palestina</c:v>
                </c:pt>
                <c:pt idx="14">
                  <c:v>Graikija</c:v>
                </c:pt>
                <c:pt idx="15">
                  <c:v>Norvegija</c:v>
                </c:pt>
                <c:pt idx="16">
                  <c:v>Rumunija</c:v>
                </c:pt>
                <c:pt idx="17">
                  <c:v>Italija</c:v>
                </c:pt>
                <c:pt idx="18">
                  <c:v>Sakartvelas</c:v>
                </c:pt>
                <c:pt idx="19">
                  <c:v>Prancūzija</c:v>
                </c:pt>
                <c:pt idx="20">
                  <c:v>Turkija</c:v>
                </c:pt>
                <c:pt idx="21">
                  <c:v>Belgija</c:v>
                </c:pt>
                <c:pt idx="22">
                  <c:v>Japonija</c:v>
                </c:pt>
                <c:pt idx="23">
                  <c:v>Portugalija</c:v>
                </c:pt>
                <c:pt idx="24">
                  <c:v>Suomija</c:v>
                </c:pt>
                <c:pt idx="25">
                  <c:v>Kipras</c:v>
                </c:pt>
                <c:pt idx="26">
                  <c:v>Slovakija</c:v>
                </c:pt>
                <c:pt idx="27">
                  <c:v>Kinija</c:v>
                </c:pt>
                <c:pt idx="28">
                  <c:v>Indija</c:v>
                </c:pt>
                <c:pt idx="29">
                  <c:v>Australija</c:v>
                </c:pt>
                <c:pt idx="30">
                  <c:v>Iranas</c:v>
                </c:pt>
              </c:strCache>
            </c:strRef>
          </c:cat>
          <c:val>
            <c:numRef>
              <c:f>Lapas1!$I$64:$I$94</c:f>
            </c:numRef>
          </c:val>
        </c:ser>
        <c:ser>
          <c:idx val="8"/>
          <c:order val="8"/>
          <c:invertIfNegative val="0"/>
          <c:cat>
            <c:strRef>
              <c:f>Lapas1!$A$64:$A$94</c:f>
              <c:strCache>
                <c:ptCount val="31"/>
                <c:pt idx="0">
                  <c:v>Latvija</c:v>
                </c:pt>
                <c:pt idx="1">
                  <c:v>Didžioji Britanija</c:v>
                </c:pt>
                <c:pt idx="2">
                  <c:v>Lenkija</c:v>
                </c:pt>
                <c:pt idx="3">
                  <c:v>Nenustatyta</c:v>
                </c:pt>
                <c:pt idx="4">
                  <c:v>Airija</c:v>
                </c:pt>
                <c:pt idx="5">
                  <c:v>Ukraina</c:v>
                </c:pt>
                <c:pt idx="6">
                  <c:v>Rusija</c:v>
                </c:pt>
                <c:pt idx="7">
                  <c:v>Vokietija</c:v>
                </c:pt>
                <c:pt idx="8">
                  <c:v>Ispanija</c:v>
                </c:pt>
                <c:pt idx="9">
                  <c:v>Estija</c:v>
                </c:pt>
                <c:pt idx="10">
                  <c:v>Baltarusija</c:v>
                </c:pt>
                <c:pt idx="11">
                  <c:v>JAV</c:v>
                </c:pt>
                <c:pt idx="12">
                  <c:v>Danija</c:v>
                </c:pt>
                <c:pt idx="13">
                  <c:v>Palestina</c:v>
                </c:pt>
                <c:pt idx="14">
                  <c:v>Graikija</c:v>
                </c:pt>
                <c:pt idx="15">
                  <c:v>Norvegija</c:v>
                </c:pt>
                <c:pt idx="16">
                  <c:v>Rumunija</c:v>
                </c:pt>
                <c:pt idx="17">
                  <c:v>Italija</c:v>
                </c:pt>
                <c:pt idx="18">
                  <c:v>Sakartvelas</c:v>
                </c:pt>
                <c:pt idx="19">
                  <c:v>Prancūzija</c:v>
                </c:pt>
                <c:pt idx="20">
                  <c:v>Turkija</c:v>
                </c:pt>
                <c:pt idx="21">
                  <c:v>Belgija</c:v>
                </c:pt>
                <c:pt idx="22">
                  <c:v>Japonija</c:v>
                </c:pt>
                <c:pt idx="23">
                  <c:v>Portugalija</c:v>
                </c:pt>
                <c:pt idx="24">
                  <c:v>Suomija</c:v>
                </c:pt>
                <c:pt idx="25">
                  <c:v>Kipras</c:v>
                </c:pt>
                <c:pt idx="26">
                  <c:v>Slovakija</c:v>
                </c:pt>
                <c:pt idx="27">
                  <c:v>Kinija</c:v>
                </c:pt>
                <c:pt idx="28">
                  <c:v>Indija</c:v>
                </c:pt>
                <c:pt idx="29">
                  <c:v>Australija</c:v>
                </c:pt>
                <c:pt idx="30">
                  <c:v>Iranas</c:v>
                </c:pt>
              </c:strCache>
            </c:strRef>
          </c:cat>
          <c:val>
            <c:numRef>
              <c:f>Lapas1!$J$64:$J$94</c:f>
            </c:numRef>
          </c:val>
        </c:ser>
        <c:ser>
          <c:idx val="9"/>
          <c:order val="9"/>
          <c:invertIfNegative val="0"/>
          <c:cat>
            <c:strRef>
              <c:f>Lapas1!$A$64:$A$94</c:f>
              <c:strCache>
                <c:ptCount val="31"/>
                <c:pt idx="0">
                  <c:v>Latvija</c:v>
                </c:pt>
                <c:pt idx="1">
                  <c:v>Didžioji Britanija</c:v>
                </c:pt>
                <c:pt idx="2">
                  <c:v>Lenkija</c:v>
                </c:pt>
                <c:pt idx="3">
                  <c:v>Nenustatyta</c:v>
                </c:pt>
                <c:pt idx="4">
                  <c:v>Airija</c:v>
                </c:pt>
                <c:pt idx="5">
                  <c:v>Ukraina</c:v>
                </c:pt>
                <c:pt idx="6">
                  <c:v>Rusija</c:v>
                </c:pt>
                <c:pt idx="7">
                  <c:v>Vokietija</c:v>
                </c:pt>
                <c:pt idx="8">
                  <c:v>Ispanija</c:v>
                </c:pt>
                <c:pt idx="9">
                  <c:v>Estija</c:v>
                </c:pt>
                <c:pt idx="10">
                  <c:v>Baltarusija</c:v>
                </c:pt>
                <c:pt idx="11">
                  <c:v>JAV</c:v>
                </c:pt>
                <c:pt idx="12">
                  <c:v>Danija</c:v>
                </c:pt>
                <c:pt idx="13">
                  <c:v>Palestina</c:v>
                </c:pt>
                <c:pt idx="14">
                  <c:v>Graikija</c:v>
                </c:pt>
                <c:pt idx="15">
                  <c:v>Norvegija</c:v>
                </c:pt>
                <c:pt idx="16">
                  <c:v>Rumunija</c:v>
                </c:pt>
                <c:pt idx="17">
                  <c:v>Italija</c:v>
                </c:pt>
                <c:pt idx="18">
                  <c:v>Sakartvelas</c:v>
                </c:pt>
                <c:pt idx="19">
                  <c:v>Prancūzija</c:v>
                </c:pt>
                <c:pt idx="20">
                  <c:v>Turkija</c:v>
                </c:pt>
                <c:pt idx="21">
                  <c:v>Belgija</c:v>
                </c:pt>
                <c:pt idx="22">
                  <c:v>Japonija</c:v>
                </c:pt>
                <c:pt idx="23">
                  <c:v>Portugalija</c:v>
                </c:pt>
                <c:pt idx="24">
                  <c:v>Suomija</c:v>
                </c:pt>
                <c:pt idx="25">
                  <c:v>Kipras</c:v>
                </c:pt>
                <c:pt idx="26">
                  <c:v>Slovakija</c:v>
                </c:pt>
                <c:pt idx="27">
                  <c:v>Kinija</c:v>
                </c:pt>
                <c:pt idx="28">
                  <c:v>Indija</c:v>
                </c:pt>
                <c:pt idx="29">
                  <c:v>Australija</c:v>
                </c:pt>
                <c:pt idx="30">
                  <c:v>Iranas</c:v>
                </c:pt>
              </c:strCache>
            </c:strRef>
          </c:cat>
          <c:val>
            <c:numRef>
              <c:f>Lapas1!$K$64:$K$94</c:f>
            </c:numRef>
          </c:val>
        </c:ser>
        <c:ser>
          <c:idx val="10"/>
          <c:order val="10"/>
          <c:invertIfNegative val="0"/>
          <c:cat>
            <c:strRef>
              <c:f>Lapas1!$A$64:$A$94</c:f>
              <c:strCache>
                <c:ptCount val="31"/>
                <c:pt idx="0">
                  <c:v>Latvija</c:v>
                </c:pt>
                <c:pt idx="1">
                  <c:v>Didžioji Britanija</c:v>
                </c:pt>
                <c:pt idx="2">
                  <c:v>Lenkija</c:v>
                </c:pt>
                <c:pt idx="3">
                  <c:v>Nenustatyta</c:v>
                </c:pt>
                <c:pt idx="4">
                  <c:v>Airija</c:v>
                </c:pt>
                <c:pt idx="5">
                  <c:v>Ukraina</c:v>
                </c:pt>
                <c:pt idx="6">
                  <c:v>Rusija</c:v>
                </c:pt>
                <c:pt idx="7">
                  <c:v>Vokietija</c:v>
                </c:pt>
                <c:pt idx="8">
                  <c:v>Ispanija</c:v>
                </c:pt>
                <c:pt idx="9">
                  <c:v>Estija</c:v>
                </c:pt>
                <c:pt idx="10">
                  <c:v>Baltarusija</c:v>
                </c:pt>
                <c:pt idx="11">
                  <c:v>JAV</c:v>
                </c:pt>
                <c:pt idx="12">
                  <c:v>Danija</c:v>
                </c:pt>
                <c:pt idx="13">
                  <c:v>Palestina</c:v>
                </c:pt>
                <c:pt idx="14">
                  <c:v>Graikija</c:v>
                </c:pt>
                <c:pt idx="15">
                  <c:v>Norvegija</c:v>
                </c:pt>
                <c:pt idx="16">
                  <c:v>Rumunija</c:v>
                </c:pt>
                <c:pt idx="17">
                  <c:v>Italija</c:v>
                </c:pt>
                <c:pt idx="18">
                  <c:v>Sakartvelas</c:v>
                </c:pt>
                <c:pt idx="19">
                  <c:v>Prancūzija</c:v>
                </c:pt>
                <c:pt idx="20">
                  <c:v>Turkija</c:v>
                </c:pt>
                <c:pt idx="21">
                  <c:v>Belgija</c:v>
                </c:pt>
                <c:pt idx="22">
                  <c:v>Japonija</c:v>
                </c:pt>
                <c:pt idx="23">
                  <c:v>Portugalija</c:v>
                </c:pt>
                <c:pt idx="24">
                  <c:v>Suomija</c:v>
                </c:pt>
                <c:pt idx="25">
                  <c:v>Kipras</c:v>
                </c:pt>
                <c:pt idx="26">
                  <c:v>Slovakija</c:v>
                </c:pt>
                <c:pt idx="27">
                  <c:v>Kinija</c:v>
                </c:pt>
                <c:pt idx="28">
                  <c:v>Indija</c:v>
                </c:pt>
                <c:pt idx="29">
                  <c:v>Australija</c:v>
                </c:pt>
                <c:pt idx="30">
                  <c:v>Iranas</c:v>
                </c:pt>
              </c:strCache>
            </c:strRef>
          </c:cat>
          <c:val>
            <c:numRef>
              <c:f>Lapas1!$L$64:$L$94</c:f>
            </c:numRef>
          </c:val>
        </c:ser>
        <c:ser>
          <c:idx val="11"/>
          <c:order val="11"/>
          <c:invertIfNegative val="0"/>
          <c:cat>
            <c:strRef>
              <c:f>Lapas1!$A$64:$A$94</c:f>
              <c:strCache>
                <c:ptCount val="31"/>
                <c:pt idx="0">
                  <c:v>Latvija</c:v>
                </c:pt>
                <c:pt idx="1">
                  <c:v>Didžioji Britanija</c:v>
                </c:pt>
                <c:pt idx="2">
                  <c:v>Lenkija</c:v>
                </c:pt>
                <c:pt idx="3">
                  <c:v>Nenustatyta</c:v>
                </c:pt>
                <c:pt idx="4">
                  <c:v>Airija</c:v>
                </c:pt>
                <c:pt idx="5">
                  <c:v>Ukraina</c:v>
                </c:pt>
                <c:pt idx="6">
                  <c:v>Rusija</c:v>
                </c:pt>
                <c:pt idx="7">
                  <c:v>Vokietija</c:v>
                </c:pt>
                <c:pt idx="8">
                  <c:v>Ispanija</c:v>
                </c:pt>
                <c:pt idx="9">
                  <c:v>Estija</c:v>
                </c:pt>
                <c:pt idx="10">
                  <c:v>Baltarusija</c:v>
                </c:pt>
                <c:pt idx="11">
                  <c:v>JAV</c:v>
                </c:pt>
                <c:pt idx="12">
                  <c:v>Danija</c:v>
                </c:pt>
                <c:pt idx="13">
                  <c:v>Palestina</c:v>
                </c:pt>
                <c:pt idx="14">
                  <c:v>Graikija</c:v>
                </c:pt>
                <c:pt idx="15">
                  <c:v>Norvegija</c:v>
                </c:pt>
                <c:pt idx="16">
                  <c:v>Rumunija</c:v>
                </c:pt>
                <c:pt idx="17">
                  <c:v>Italija</c:v>
                </c:pt>
                <c:pt idx="18">
                  <c:v>Sakartvelas</c:v>
                </c:pt>
                <c:pt idx="19">
                  <c:v>Prancūzija</c:v>
                </c:pt>
                <c:pt idx="20">
                  <c:v>Turkija</c:v>
                </c:pt>
                <c:pt idx="21">
                  <c:v>Belgija</c:v>
                </c:pt>
                <c:pt idx="22">
                  <c:v>Japonija</c:v>
                </c:pt>
                <c:pt idx="23">
                  <c:v>Portugalija</c:v>
                </c:pt>
                <c:pt idx="24">
                  <c:v>Suomija</c:v>
                </c:pt>
                <c:pt idx="25">
                  <c:v>Kipras</c:v>
                </c:pt>
                <c:pt idx="26">
                  <c:v>Slovakija</c:v>
                </c:pt>
                <c:pt idx="27">
                  <c:v>Kinija</c:v>
                </c:pt>
                <c:pt idx="28">
                  <c:v>Indija</c:v>
                </c:pt>
                <c:pt idx="29">
                  <c:v>Australija</c:v>
                </c:pt>
                <c:pt idx="30">
                  <c:v>Iranas</c:v>
                </c:pt>
              </c:strCache>
            </c:strRef>
          </c:cat>
          <c:val>
            <c:numRef>
              <c:f>Lapas1!$M$64:$M$94</c:f>
            </c:numRef>
          </c:val>
        </c:ser>
        <c:ser>
          <c:idx val="12"/>
          <c:order val="12"/>
          <c:invertIfNegative val="0"/>
          <c:cat>
            <c:strRef>
              <c:f>Lapas1!$A$64:$A$94</c:f>
              <c:strCache>
                <c:ptCount val="31"/>
                <c:pt idx="0">
                  <c:v>Latvija</c:v>
                </c:pt>
                <c:pt idx="1">
                  <c:v>Didžioji Britanija</c:v>
                </c:pt>
                <c:pt idx="2">
                  <c:v>Lenkija</c:v>
                </c:pt>
                <c:pt idx="3">
                  <c:v>Nenustatyta</c:v>
                </c:pt>
                <c:pt idx="4">
                  <c:v>Airija</c:v>
                </c:pt>
                <c:pt idx="5">
                  <c:v>Ukraina</c:v>
                </c:pt>
                <c:pt idx="6">
                  <c:v>Rusija</c:v>
                </c:pt>
                <c:pt idx="7">
                  <c:v>Vokietija</c:v>
                </c:pt>
                <c:pt idx="8">
                  <c:v>Ispanija</c:v>
                </c:pt>
                <c:pt idx="9">
                  <c:v>Estija</c:v>
                </c:pt>
                <c:pt idx="10">
                  <c:v>Baltarusija</c:v>
                </c:pt>
                <c:pt idx="11">
                  <c:v>JAV</c:v>
                </c:pt>
                <c:pt idx="12">
                  <c:v>Danija</c:v>
                </c:pt>
                <c:pt idx="13">
                  <c:v>Palestina</c:v>
                </c:pt>
                <c:pt idx="14">
                  <c:v>Graikija</c:v>
                </c:pt>
                <c:pt idx="15">
                  <c:v>Norvegija</c:v>
                </c:pt>
                <c:pt idx="16">
                  <c:v>Rumunija</c:v>
                </c:pt>
                <c:pt idx="17">
                  <c:v>Italija</c:v>
                </c:pt>
                <c:pt idx="18">
                  <c:v>Sakartvelas</c:v>
                </c:pt>
                <c:pt idx="19">
                  <c:v>Prancūzija</c:v>
                </c:pt>
                <c:pt idx="20">
                  <c:v>Turkija</c:v>
                </c:pt>
                <c:pt idx="21">
                  <c:v>Belgija</c:v>
                </c:pt>
                <c:pt idx="22">
                  <c:v>Japonija</c:v>
                </c:pt>
                <c:pt idx="23">
                  <c:v>Portugalija</c:v>
                </c:pt>
                <c:pt idx="24">
                  <c:v>Suomija</c:v>
                </c:pt>
                <c:pt idx="25">
                  <c:v>Kipras</c:v>
                </c:pt>
                <c:pt idx="26">
                  <c:v>Slovakija</c:v>
                </c:pt>
                <c:pt idx="27">
                  <c:v>Kinija</c:v>
                </c:pt>
                <c:pt idx="28">
                  <c:v>Indija</c:v>
                </c:pt>
                <c:pt idx="29">
                  <c:v>Australija</c:v>
                </c:pt>
                <c:pt idx="30">
                  <c:v>Iranas</c:v>
                </c:pt>
              </c:strCache>
            </c:strRef>
          </c:cat>
          <c:val>
            <c:numRef>
              <c:f>Lapas1!$N$64:$N$94</c:f>
            </c:numRef>
          </c:val>
        </c:ser>
        <c:ser>
          <c:idx val="13"/>
          <c:order val="13"/>
          <c:invertIfNegative val="0"/>
          <c:cat>
            <c:strRef>
              <c:f>Lapas1!$A$64:$A$94</c:f>
              <c:strCache>
                <c:ptCount val="31"/>
                <c:pt idx="0">
                  <c:v>Latvija</c:v>
                </c:pt>
                <c:pt idx="1">
                  <c:v>Didžioji Britanija</c:v>
                </c:pt>
                <c:pt idx="2">
                  <c:v>Lenkija</c:v>
                </c:pt>
                <c:pt idx="3">
                  <c:v>Nenustatyta</c:v>
                </c:pt>
                <c:pt idx="4">
                  <c:v>Airija</c:v>
                </c:pt>
                <c:pt idx="5">
                  <c:v>Ukraina</c:v>
                </c:pt>
                <c:pt idx="6">
                  <c:v>Rusija</c:v>
                </c:pt>
                <c:pt idx="7">
                  <c:v>Vokietija</c:v>
                </c:pt>
                <c:pt idx="8">
                  <c:v>Ispanija</c:v>
                </c:pt>
                <c:pt idx="9">
                  <c:v>Estija</c:v>
                </c:pt>
                <c:pt idx="10">
                  <c:v>Baltarusija</c:v>
                </c:pt>
                <c:pt idx="11">
                  <c:v>JAV</c:v>
                </c:pt>
                <c:pt idx="12">
                  <c:v>Danija</c:v>
                </c:pt>
                <c:pt idx="13">
                  <c:v>Palestina</c:v>
                </c:pt>
                <c:pt idx="14">
                  <c:v>Graikija</c:v>
                </c:pt>
                <c:pt idx="15">
                  <c:v>Norvegija</c:v>
                </c:pt>
                <c:pt idx="16">
                  <c:v>Rumunija</c:v>
                </c:pt>
                <c:pt idx="17">
                  <c:v>Italija</c:v>
                </c:pt>
                <c:pt idx="18">
                  <c:v>Sakartvelas</c:v>
                </c:pt>
                <c:pt idx="19">
                  <c:v>Prancūzija</c:v>
                </c:pt>
                <c:pt idx="20">
                  <c:v>Turkija</c:v>
                </c:pt>
                <c:pt idx="21">
                  <c:v>Belgija</c:v>
                </c:pt>
                <c:pt idx="22">
                  <c:v>Japonija</c:v>
                </c:pt>
                <c:pt idx="23">
                  <c:v>Portugalija</c:v>
                </c:pt>
                <c:pt idx="24">
                  <c:v>Suomija</c:v>
                </c:pt>
                <c:pt idx="25">
                  <c:v>Kipras</c:v>
                </c:pt>
                <c:pt idx="26">
                  <c:v>Slovakija</c:v>
                </c:pt>
                <c:pt idx="27">
                  <c:v>Kinija</c:v>
                </c:pt>
                <c:pt idx="28">
                  <c:v>Indija</c:v>
                </c:pt>
                <c:pt idx="29">
                  <c:v>Australija</c:v>
                </c:pt>
                <c:pt idx="30">
                  <c:v>Iranas</c:v>
                </c:pt>
              </c:strCache>
            </c:strRef>
          </c:cat>
          <c:val>
            <c:numRef>
              <c:f>Lapas1!$O$64:$O$94</c:f>
            </c:numRef>
          </c:val>
        </c:ser>
        <c:ser>
          <c:idx val="14"/>
          <c:order val="14"/>
          <c:spPr>
            <a:solidFill>
              <a:schemeClr val="tx2">
                <a:lumMod val="60000"/>
                <a:lumOff val="40000"/>
              </a:schemeClr>
            </a:solidFill>
          </c:spPr>
          <c:invertIfNegative val="0"/>
          <c:dLbls>
            <c:dLbl>
              <c:idx val="0"/>
              <c:layout>
                <c:manualLayout>
                  <c:x val="1.1347516040652103E-2"/>
                  <c:y val="1.6784248208394172E-2"/>
                </c:manualLayout>
              </c:layout>
              <c:dLblPos val="outEnd"/>
              <c:showLegendKey val="0"/>
              <c:showVal val="1"/>
              <c:showCatName val="0"/>
              <c:showSerName val="0"/>
              <c:showPercent val="0"/>
              <c:showBubbleSize val="0"/>
            </c:dLbl>
            <c:dLbl>
              <c:idx val="1"/>
              <c:layout>
                <c:manualLayout>
                  <c:x val="1.8912526734420174E-3"/>
                  <c:y val="5.9441367231111179E-3"/>
                </c:manualLayout>
              </c:layout>
              <c:dLblPos val="outEnd"/>
              <c:showLegendKey val="0"/>
              <c:showVal val="1"/>
              <c:showCatName val="0"/>
              <c:showSerName val="0"/>
              <c:showPercent val="0"/>
              <c:showBubbleSize val="0"/>
            </c:dLbl>
            <c:dLbl>
              <c:idx val="2"/>
              <c:layout>
                <c:manualLayout>
                  <c:x val="-1.733628256966955E-17"/>
                  <c:y val="1.3170877713299821E-2"/>
                </c:manualLayout>
              </c:layout>
              <c:dLblPos val="outEnd"/>
              <c:showLegendKey val="0"/>
              <c:showVal val="1"/>
              <c:showCatName val="0"/>
              <c:showSerName val="0"/>
              <c:showPercent val="0"/>
              <c:showBubbleSize val="0"/>
            </c:dLbl>
            <c:dLbl>
              <c:idx val="3"/>
              <c:layout>
                <c:manualLayout>
                  <c:x val="0"/>
                  <c:y val="1.5671500806322271E-2"/>
                </c:manualLayout>
              </c:layout>
              <c:dLblPos val="outEnd"/>
              <c:showLegendKey val="0"/>
              <c:showVal val="1"/>
              <c:showCatName val="0"/>
              <c:showSerName val="0"/>
              <c:showPercent val="0"/>
              <c:showBubbleSize val="0"/>
            </c:dLbl>
            <c:dLbl>
              <c:idx val="4"/>
              <c:layout>
                <c:manualLayout>
                  <c:x val="3.7825053468840348E-3"/>
                  <c:y val="1.2598713298682979E-2"/>
                </c:manualLayout>
              </c:layout>
              <c:dLblPos val="outEnd"/>
              <c:showLegendKey val="0"/>
              <c:showVal val="1"/>
              <c:showCatName val="0"/>
              <c:showSerName val="0"/>
              <c:showPercent val="0"/>
              <c:showBubbleSize val="0"/>
            </c:dLbl>
            <c:dLbl>
              <c:idx val="5"/>
              <c:layout>
                <c:manualLayout>
                  <c:x val="0"/>
                  <c:y val="1.0029237004100531E-2"/>
                </c:manualLayout>
              </c:layout>
              <c:dLblPos val="outEnd"/>
              <c:showLegendKey val="0"/>
              <c:showVal val="1"/>
              <c:showCatName val="0"/>
              <c:showSerName val="0"/>
              <c:showPercent val="0"/>
              <c:showBubbleSize val="0"/>
            </c:dLbl>
            <c:dLbl>
              <c:idx val="6"/>
              <c:layout>
                <c:manualLayout>
                  <c:x val="-1.4891753334189112E-7"/>
                  <c:y val="1.2635985073081196E-2"/>
                </c:manualLayout>
              </c:layout>
              <c:dLblPos val="outEnd"/>
              <c:showLegendKey val="0"/>
              <c:showVal val="1"/>
              <c:showCatName val="0"/>
              <c:showSerName val="0"/>
              <c:showPercent val="0"/>
              <c:showBubbleSize val="0"/>
            </c:dLbl>
            <c:dLbl>
              <c:idx val="7"/>
              <c:layout>
                <c:manualLayout>
                  <c:x val="0"/>
                  <c:y val="1.6339547571871997E-2"/>
                </c:manualLayout>
              </c:layout>
              <c:dLblPos val="outEnd"/>
              <c:showLegendKey val="0"/>
              <c:showVal val="1"/>
              <c:showCatName val="0"/>
              <c:showSerName val="0"/>
              <c:showPercent val="0"/>
              <c:showBubbleSize val="0"/>
            </c:dLbl>
            <c:txPr>
              <a:bodyPr/>
              <a:lstStyle/>
              <a:p>
                <a:pPr>
                  <a:defRPr sz="1100"/>
                </a:pPr>
                <a:endParaRPr lang="lt-LT"/>
              </a:p>
            </c:txPr>
            <c:dLblPos val="inEnd"/>
            <c:showLegendKey val="0"/>
            <c:showVal val="1"/>
            <c:showCatName val="0"/>
            <c:showSerName val="0"/>
            <c:showPercent val="0"/>
            <c:showBubbleSize val="0"/>
            <c:showLeaderLines val="0"/>
          </c:dLbls>
          <c:cat>
            <c:strRef>
              <c:f>Lapas1!$A$64:$A$94</c:f>
              <c:strCache>
                <c:ptCount val="31"/>
                <c:pt idx="0">
                  <c:v>Latvija</c:v>
                </c:pt>
                <c:pt idx="1">
                  <c:v>Didžioji Britanija</c:v>
                </c:pt>
                <c:pt idx="2">
                  <c:v>Lenkija</c:v>
                </c:pt>
                <c:pt idx="3">
                  <c:v>Nenustatyta</c:v>
                </c:pt>
                <c:pt idx="4">
                  <c:v>Airija</c:v>
                </c:pt>
                <c:pt idx="5">
                  <c:v>Ukraina</c:v>
                </c:pt>
                <c:pt idx="6">
                  <c:v>Rusija</c:v>
                </c:pt>
                <c:pt idx="7">
                  <c:v>Vokietija</c:v>
                </c:pt>
                <c:pt idx="8">
                  <c:v>Ispanija</c:v>
                </c:pt>
                <c:pt idx="9">
                  <c:v>Estija</c:v>
                </c:pt>
                <c:pt idx="10">
                  <c:v>Baltarusija</c:v>
                </c:pt>
                <c:pt idx="11">
                  <c:v>JAV</c:v>
                </c:pt>
                <c:pt idx="12">
                  <c:v>Danija</c:v>
                </c:pt>
                <c:pt idx="13">
                  <c:v>Palestina</c:v>
                </c:pt>
                <c:pt idx="14">
                  <c:v>Graikija</c:v>
                </c:pt>
                <c:pt idx="15">
                  <c:v>Norvegija</c:v>
                </c:pt>
                <c:pt idx="16">
                  <c:v>Rumunija</c:v>
                </c:pt>
                <c:pt idx="17">
                  <c:v>Italija</c:v>
                </c:pt>
                <c:pt idx="18">
                  <c:v>Sakartvelas</c:v>
                </c:pt>
                <c:pt idx="19">
                  <c:v>Prancūzija</c:v>
                </c:pt>
                <c:pt idx="20">
                  <c:v>Turkija</c:v>
                </c:pt>
                <c:pt idx="21">
                  <c:v>Belgija</c:v>
                </c:pt>
                <c:pt idx="22">
                  <c:v>Japonija</c:v>
                </c:pt>
                <c:pt idx="23">
                  <c:v>Portugalija</c:v>
                </c:pt>
                <c:pt idx="24">
                  <c:v>Suomija</c:v>
                </c:pt>
                <c:pt idx="25">
                  <c:v>Kipras</c:v>
                </c:pt>
                <c:pt idx="26">
                  <c:v>Slovakija</c:v>
                </c:pt>
                <c:pt idx="27">
                  <c:v>Kinija</c:v>
                </c:pt>
                <c:pt idx="28">
                  <c:v>Indija</c:v>
                </c:pt>
                <c:pt idx="29">
                  <c:v>Australija</c:v>
                </c:pt>
                <c:pt idx="30">
                  <c:v>Iranas</c:v>
                </c:pt>
              </c:strCache>
            </c:strRef>
          </c:cat>
          <c:val>
            <c:numRef>
              <c:f>Lapas1!$P$64:$P$94</c:f>
              <c:numCache>
                <c:formatCode>General</c:formatCode>
                <c:ptCount val="31"/>
                <c:pt idx="0">
                  <c:v>1106</c:v>
                </c:pt>
                <c:pt idx="1">
                  <c:v>409</c:v>
                </c:pt>
                <c:pt idx="2">
                  <c:v>312</c:v>
                </c:pt>
                <c:pt idx="3">
                  <c:v>146</c:v>
                </c:pt>
                <c:pt idx="4">
                  <c:v>104</c:v>
                </c:pt>
                <c:pt idx="5">
                  <c:v>63</c:v>
                </c:pt>
                <c:pt idx="6">
                  <c:v>61</c:v>
                </c:pt>
                <c:pt idx="7">
                  <c:v>54</c:v>
                </c:pt>
                <c:pt idx="8">
                  <c:v>47</c:v>
                </c:pt>
                <c:pt idx="9">
                  <c:v>42</c:v>
                </c:pt>
                <c:pt idx="10">
                  <c:v>37</c:v>
                </c:pt>
                <c:pt idx="11">
                  <c:v>31</c:v>
                </c:pt>
                <c:pt idx="12">
                  <c:v>28</c:v>
                </c:pt>
                <c:pt idx="13">
                  <c:v>25</c:v>
                </c:pt>
                <c:pt idx="14">
                  <c:v>20</c:v>
                </c:pt>
                <c:pt idx="15">
                  <c:v>14</c:v>
                </c:pt>
                <c:pt idx="16">
                  <c:v>14</c:v>
                </c:pt>
                <c:pt idx="17">
                  <c:v>13</c:v>
                </c:pt>
                <c:pt idx="18">
                  <c:v>12</c:v>
                </c:pt>
                <c:pt idx="19">
                  <c:v>9</c:v>
                </c:pt>
                <c:pt idx="20">
                  <c:v>5</c:v>
                </c:pt>
                <c:pt idx="21">
                  <c:v>5</c:v>
                </c:pt>
                <c:pt idx="22">
                  <c:v>5</c:v>
                </c:pt>
                <c:pt idx="23">
                  <c:v>5</c:v>
                </c:pt>
                <c:pt idx="24">
                  <c:v>2</c:v>
                </c:pt>
                <c:pt idx="25">
                  <c:v>2</c:v>
                </c:pt>
                <c:pt idx="26">
                  <c:v>2</c:v>
                </c:pt>
                <c:pt idx="27">
                  <c:v>2</c:v>
                </c:pt>
                <c:pt idx="28">
                  <c:v>2</c:v>
                </c:pt>
                <c:pt idx="29">
                  <c:v>2</c:v>
                </c:pt>
                <c:pt idx="30">
                  <c:v>1</c:v>
                </c:pt>
              </c:numCache>
            </c:numRef>
          </c:val>
        </c:ser>
        <c:dLbls>
          <c:showLegendKey val="0"/>
          <c:showVal val="1"/>
          <c:showCatName val="0"/>
          <c:showSerName val="0"/>
          <c:showPercent val="0"/>
          <c:showBubbleSize val="0"/>
        </c:dLbls>
        <c:gapWidth val="25"/>
        <c:overlap val="40"/>
        <c:axId val="147466112"/>
        <c:axId val="147518976"/>
      </c:barChart>
      <c:catAx>
        <c:axId val="147466112"/>
        <c:scaling>
          <c:orientation val="minMax"/>
        </c:scaling>
        <c:delete val="0"/>
        <c:axPos val="b"/>
        <c:majorTickMark val="none"/>
        <c:minorTickMark val="none"/>
        <c:tickLblPos val="nextTo"/>
        <c:crossAx val="147518976"/>
        <c:crosses val="autoZero"/>
        <c:auto val="1"/>
        <c:lblAlgn val="ctr"/>
        <c:lblOffset val="100"/>
        <c:noMultiLvlLbl val="0"/>
      </c:catAx>
      <c:valAx>
        <c:axId val="147518976"/>
        <c:scaling>
          <c:orientation val="minMax"/>
        </c:scaling>
        <c:delete val="0"/>
        <c:axPos val="l"/>
        <c:majorGridlines/>
        <c:numFmt formatCode="General" sourceLinked="1"/>
        <c:majorTickMark val="none"/>
        <c:minorTickMark val="none"/>
        <c:tickLblPos val="nextTo"/>
        <c:crossAx val="147466112"/>
        <c:crosses val="autoZero"/>
        <c:crossBetween val="between"/>
      </c:valAx>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'lankytoju statistika'!$B$21</c:f>
              <c:strCache>
                <c:ptCount val="1"/>
                <c:pt idx="0">
                  <c:v>Stoties g. skyrius</c:v>
                </c:pt>
              </c:strCache>
            </c:strRef>
          </c:tx>
          <c:spPr>
            <a:solidFill>
              <a:srgbClr val="FFFF00"/>
            </a:solidFill>
          </c:spPr>
          <c:invertIfNegative val="0"/>
          <c:cat>
            <c:strRef>
              <c:f>'lankytoju statistika'!$A$22:$A$25</c:f>
              <c:strCache>
                <c:ptCount val="4"/>
                <c:pt idx="0">
                  <c:v>2016 m.</c:v>
                </c:pt>
                <c:pt idx="1">
                  <c:v>2017 m.</c:v>
                </c:pt>
                <c:pt idx="2">
                  <c:v>2018 m.</c:v>
                </c:pt>
                <c:pt idx="3">
                  <c:v>2019 m.</c:v>
                </c:pt>
              </c:strCache>
            </c:strRef>
          </c:cat>
          <c:val>
            <c:numRef>
              <c:f>'lankytoju statistika'!$B$22:$B$25</c:f>
              <c:numCache>
                <c:formatCode>General</c:formatCode>
                <c:ptCount val="4"/>
                <c:pt idx="0">
                  <c:v>6748</c:v>
                </c:pt>
                <c:pt idx="1">
                  <c:v>6432</c:v>
                </c:pt>
                <c:pt idx="2">
                  <c:v>7630</c:v>
                </c:pt>
                <c:pt idx="3">
                  <c:v>7107</c:v>
                </c:pt>
              </c:numCache>
            </c:numRef>
          </c:val>
        </c:ser>
        <c:ser>
          <c:idx val="1"/>
          <c:order val="1"/>
          <c:tx>
            <c:strRef>
              <c:f>'lankytoju statistika'!$C$21</c:f>
              <c:strCache>
                <c:ptCount val="1"/>
                <c:pt idx="0">
                  <c:v>Taurapilio skyrius</c:v>
                </c:pt>
              </c:strCache>
            </c:strRef>
          </c:tx>
          <c:spPr>
            <a:solidFill>
              <a:schemeClr val="tx2">
                <a:lumMod val="60000"/>
                <a:lumOff val="40000"/>
              </a:schemeClr>
            </a:solidFill>
          </c:spPr>
          <c:invertIfNegative val="0"/>
          <c:cat>
            <c:strRef>
              <c:f>'lankytoju statistika'!$A$22:$A$25</c:f>
              <c:strCache>
                <c:ptCount val="4"/>
                <c:pt idx="0">
                  <c:v>2016 m.</c:v>
                </c:pt>
                <c:pt idx="1">
                  <c:v>2017 m.</c:v>
                </c:pt>
                <c:pt idx="2">
                  <c:v>2018 m.</c:v>
                </c:pt>
                <c:pt idx="3">
                  <c:v>2019 m.</c:v>
                </c:pt>
              </c:strCache>
            </c:strRef>
          </c:cat>
          <c:val>
            <c:numRef>
              <c:f>'lankytoju statistika'!$C$22:$C$25</c:f>
              <c:numCache>
                <c:formatCode>General</c:formatCode>
                <c:ptCount val="4"/>
                <c:pt idx="0">
                  <c:v>2232</c:v>
                </c:pt>
                <c:pt idx="1">
                  <c:v>2841</c:v>
                </c:pt>
                <c:pt idx="2">
                  <c:v>2839</c:v>
                </c:pt>
                <c:pt idx="3">
                  <c:v>3039</c:v>
                </c:pt>
              </c:numCache>
            </c:numRef>
          </c:val>
        </c:ser>
        <c:dLbls>
          <c:showLegendKey val="0"/>
          <c:showVal val="1"/>
          <c:showCatName val="0"/>
          <c:showSerName val="0"/>
          <c:showPercent val="0"/>
          <c:showBubbleSize val="0"/>
        </c:dLbls>
        <c:gapWidth val="75"/>
        <c:axId val="81114240"/>
        <c:axId val="81115776"/>
      </c:barChart>
      <c:catAx>
        <c:axId val="81114240"/>
        <c:scaling>
          <c:orientation val="minMax"/>
        </c:scaling>
        <c:delete val="0"/>
        <c:axPos val="l"/>
        <c:numFmt formatCode="General" sourceLinked="1"/>
        <c:majorTickMark val="none"/>
        <c:minorTickMark val="none"/>
        <c:tickLblPos val="nextTo"/>
        <c:crossAx val="81115776"/>
        <c:crosses val="autoZero"/>
        <c:auto val="1"/>
        <c:lblAlgn val="ctr"/>
        <c:lblOffset val="100"/>
        <c:noMultiLvlLbl val="0"/>
      </c:catAx>
      <c:valAx>
        <c:axId val="81115776"/>
        <c:scaling>
          <c:orientation val="minMax"/>
        </c:scaling>
        <c:delete val="0"/>
        <c:axPos val="b"/>
        <c:numFmt formatCode="General" sourceLinked="1"/>
        <c:majorTickMark val="none"/>
        <c:minorTickMark val="none"/>
        <c:tickLblPos val="nextTo"/>
        <c:crossAx val="81114240"/>
        <c:crosses val="autoZero"/>
        <c:crossBetween val="between"/>
      </c:valAx>
    </c:plotArea>
    <c:legend>
      <c:legendPos val="b"/>
      <c:layout>
        <c:manualLayout>
          <c:xMode val="edge"/>
          <c:yMode val="edge"/>
          <c:x val="0.23474126709771034"/>
          <c:y val="0.91031341670526478"/>
          <c:w val="0.55219751189637878"/>
          <c:h val="6.8296208963184418E-2"/>
        </c:manualLayout>
      </c:layout>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04942216950914E-2"/>
          <c:y val="0.15736090105751957"/>
          <c:w val="0.89427924019957761"/>
          <c:h val="0.45819711409855418"/>
        </c:manualLayout>
      </c:layout>
      <c:lineChart>
        <c:grouping val="standard"/>
        <c:varyColors val="0"/>
        <c:ser>
          <c:idx val="0"/>
          <c:order val="0"/>
          <c:tx>
            <c:strRef>
              <c:f>'lankytoju statistika'!$B$2</c:f>
              <c:strCache>
                <c:ptCount val="1"/>
                <c:pt idx="0">
                  <c:v>Stoties g. skyrius</c:v>
                </c:pt>
              </c:strCache>
            </c:strRef>
          </c:tx>
          <c:spPr>
            <a:ln>
              <a:solidFill>
                <a:srgbClr val="FFFF00"/>
              </a:solidFill>
            </a:ln>
          </c:spPr>
          <c:marker>
            <c:spPr>
              <a:solidFill>
                <a:srgbClr val="FFFF00"/>
              </a:solidFill>
              <a:ln>
                <a:noFill/>
              </a:ln>
            </c:spPr>
          </c:marker>
          <c:dLbls>
            <c:dLbl>
              <c:idx val="0"/>
              <c:layout>
                <c:manualLayout>
                  <c:x val="-3.9051603905160388E-2"/>
                  <c:y val="-4.0182636843882548E-2"/>
                </c:manualLayout>
              </c:layout>
              <c:showLegendKey val="0"/>
              <c:showVal val="1"/>
              <c:showCatName val="0"/>
              <c:showSerName val="0"/>
              <c:showPercent val="0"/>
              <c:showBubbleSize val="0"/>
            </c:dLbl>
            <c:dLbl>
              <c:idx val="1"/>
              <c:layout>
                <c:manualLayout>
                  <c:x val="-3.3472803347280332E-2"/>
                  <c:y val="-4.0182636843882548E-2"/>
                </c:manualLayout>
              </c:layout>
              <c:showLegendKey val="0"/>
              <c:showVal val="1"/>
              <c:showCatName val="0"/>
              <c:showSerName val="0"/>
              <c:showPercent val="0"/>
              <c:showBubbleSize val="0"/>
            </c:dLbl>
            <c:dLbl>
              <c:idx val="2"/>
              <c:layout>
                <c:manualLayout>
                  <c:x val="-3.3472803347280367E-2"/>
                  <c:y val="-4.0182636843882548E-2"/>
                </c:manualLayout>
              </c:layout>
              <c:showLegendKey val="0"/>
              <c:showVal val="1"/>
              <c:showCatName val="0"/>
              <c:showSerName val="0"/>
              <c:showPercent val="0"/>
              <c:showBubbleSize val="0"/>
            </c:dLbl>
            <c:dLbl>
              <c:idx val="3"/>
              <c:layout>
                <c:manualLayout>
                  <c:x val="-3.3472803347280332E-2"/>
                  <c:y val="-4.7488570815497552E-2"/>
                </c:manualLayout>
              </c:layout>
              <c:showLegendKey val="0"/>
              <c:showVal val="1"/>
              <c:showCatName val="0"/>
              <c:showSerName val="0"/>
              <c:showPercent val="0"/>
              <c:showBubbleSize val="0"/>
            </c:dLbl>
            <c:dLbl>
              <c:idx val="4"/>
              <c:layout>
                <c:manualLayout>
                  <c:x val="-3.7192003719200374E-2"/>
                  <c:y val="-3.2876702872267537E-2"/>
                </c:manualLayout>
              </c:layout>
              <c:showLegendKey val="0"/>
              <c:showVal val="1"/>
              <c:showCatName val="0"/>
              <c:showSerName val="0"/>
              <c:showPercent val="0"/>
              <c:showBubbleSize val="0"/>
            </c:dLbl>
            <c:dLbl>
              <c:idx val="5"/>
              <c:layout>
                <c:manualLayout>
                  <c:x val="-4.4630404463040445E-2"/>
                  <c:y val="-4.3835603829690054E-2"/>
                </c:manualLayout>
              </c:layout>
              <c:showLegendKey val="0"/>
              <c:showVal val="1"/>
              <c:showCatName val="0"/>
              <c:showSerName val="0"/>
              <c:showPercent val="0"/>
              <c:showBubbleSize val="0"/>
            </c:dLbl>
            <c:dLbl>
              <c:idx val="6"/>
              <c:layout>
                <c:manualLayout>
                  <c:x val="-4.2770804277080431E-2"/>
                  <c:y val="-4.3835891464885784E-2"/>
                </c:manualLayout>
              </c:layout>
              <c:showLegendKey val="0"/>
              <c:showVal val="1"/>
              <c:showCatName val="0"/>
              <c:showSerName val="0"/>
              <c:showPercent val="0"/>
              <c:showBubbleSize val="0"/>
            </c:dLbl>
            <c:dLbl>
              <c:idx val="7"/>
              <c:layout>
                <c:manualLayout>
                  <c:x val="-1.8596001859600187E-2"/>
                  <c:y val="-3.6529669858075028E-2"/>
                </c:manualLayout>
              </c:layout>
              <c:showLegendKey val="0"/>
              <c:showVal val="1"/>
              <c:showCatName val="0"/>
              <c:showSerName val="0"/>
              <c:showPercent val="0"/>
              <c:showBubbleSize val="0"/>
            </c:dLbl>
            <c:dLbl>
              <c:idx val="8"/>
              <c:layout>
                <c:manualLayout>
                  <c:x val="-3.7192003719200371E-3"/>
                  <c:y val="-2.1917801914845027E-2"/>
                </c:manualLayout>
              </c:layout>
              <c:showLegendKey val="0"/>
              <c:showVal val="1"/>
              <c:showCatName val="0"/>
              <c:showSerName val="0"/>
              <c:showPercent val="0"/>
              <c:showBubbleSize val="0"/>
            </c:dLbl>
            <c:dLbl>
              <c:idx val="9"/>
              <c:layout>
                <c:manualLayout>
                  <c:x val="-1.3017201301720131E-2"/>
                  <c:y val="-4.0182636843882548E-2"/>
                </c:manualLayout>
              </c:layout>
              <c:showLegendKey val="0"/>
              <c:showVal val="1"/>
              <c:showCatName val="0"/>
              <c:showSerName val="0"/>
              <c:showPercent val="0"/>
              <c:showBubbleSize val="0"/>
            </c:dLbl>
            <c:dLbl>
              <c:idx val="10"/>
              <c:layout>
                <c:manualLayout>
                  <c:x val="-3.1613203161320318E-2"/>
                  <c:y val="-4.748857081549749E-2"/>
                </c:manualLayout>
              </c:layout>
              <c:showLegendKey val="0"/>
              <c:showVal val="1"/>
              <c:showCatName val="0"/>
              <c:showSerName val="0"/>
              <c:showPercent val="0"/>
              <c:showBubbleSize val="0"/>
            </c:dLbl>
            <c:dLbl>
              <c:idx val="11"/>
              <c:layout>
                <c:manualLayout>
                  <c:x val="-2.2315202231520222E-2"/>
                  <c:y val="-4.383560382969005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'lankytoju statistika'!$A$3:$A$14</c:f>
              <c:strCache>
                <c:ptCount val="12"/>
                <c:pt idx="0">
                  <c:v>Sausis</c:v>
                </c:pt>
                <c:pt idx="1">
                  <c:v>Vasaris</c:v>
                </c:pt>
                <c:pt idx="2">
                  <c:v>Kovas</c:v>
                </c:pt>
                <c:pt idx="3">
                  <c:v>Balandis</c:v>
                </c:pt>
                <c:pt idx="4">
                  <c:v>Gegužė</c:v>
                </c:pt>
                <c:pt idx="5">
                  <c:v>Birželis</c:v>
                </c:pt>
                <c:pt idx="6">
                  <c:v>Liepa</c:v>
                </c:pt>
                <c:pt idx="7">
                  <c:v>Rugpjūtis</c:v>
                </c:pt>
                <c:pt idx="8">
                  <c:v>Rugsėjis</c:v>
                </c:pt>
                <c:pt idx="9">
                  <c:v>Spalis</c:v>
                </c:pt>
                <c:pt idx="10">
                  <c:v>Lapkritis</c:v>
                </c:pt>
                <c:pt idx="11">
                  <c:v>Gruodis</c:v>
                </c:pt>
              </c:strCache>
            </c:strRef>
          </c:cat>
          <c:val>
            <c:numRef>
              <c:f>'lankytoju statistika'!$B$3:$B$14</c:f>
              <c:numCache>
                <c:formatCode>General</c:formatCode>
                <c:ptCount val="12"/>
                <c:pt idx="0">
                  <c:v>380</c:v>
                </c:pt>
                <c:pt idx="1">
                  <c:v>475</c:v>
                </c:pt>
                <c:pt idx="2">
                  <c:v>596</c:v>
                </c:pt>
                <c:pt idx="3">
                  <c:v>309</c:v>
                </c:pt>
                <c:pt idx="4">
                  <c:v>622</c:v>
                </c:pt>
                <c:pt idx="5">
                  <c:v>834</c:v>
                </c:pt>
                <c:pt idx="6">
                  <c:v>1431</c:v>
                </c:pt>
                <c:pt idx="7">
                  <c:v>1449</c:v>
                </c:pt>
                <c:pt idx="8">
                  <c:v>648</c:v>
                </c:pt>
                <c:pt idx="9">
                  <c:v>121</c:v>
                </c:pt>
                <c:pt idx="10">
                  <c:v>105</c:v>
                </c:pt>
                <c:pt idx="11">
                  <c:v>137</c:v>
                </c:pt>
              </c:numCache>
            </c:numRef>
          </c:val>
          <c:smooth val="0"/>
        </c:ser>
        <c:ser>
          <c:idx val="1"/>
          <c:order val="1"/>
          <c:tx>
            <c:strRef>
              <c:f>'lankytoju statistika'!$C$2</c:f>
              <c:strCache>
                <c:ptCount val="1"/>
                <c:pt idx="0">
                  <c:v>Taurapilio skyrius</c:v>
                </c:pt>
              </c:strCache>
            </c:strRef>
          </c:tx>
          <c:spPr>
            <a:ln>
              <a:solidFill>
                <a:schemeClr val="tx2">
                  <a:lumMod val="60000"/>
                  <a:lumOff val="40000"/>
                </a:schemeClr>
              </a:solidFill>
            </a:ln>
          </c:spPr>
          <c:marker>
            <c:spPr>
              <a:solidFill>
                <a:schemeClr val="tx2">
                  <a:lumMod val="60000"/>
                  <a:lumOff val="40000"/>
                </a:schemeClr>
              </a:solidFill>
              <a:ln>
                <a:noFill/>
              </a:ln>
            </c:spPr>
          </c:marker>
          <c:dLbls>
            <c:dLbl>
              <c:idx val="0"/>
              <c:layout>
                <c:manualLayout>
                  <c:x val="-3.3472803347280332E-2"/>
                  <c:y val="4.0182636843882548E-2"/>
                </c:manualLayout>
              </c:layout>
              <c:showLegendKey val="0"/>
              <c:showVal val="1"/>
              <c:showCatName val="0"/>
              <c:showSerName val="0"/>
              <c:showPercent val="0"/>
              <c:showBubbleSize val="0"/>
            </c:dLbl>
            <c:dLbl>
              <c:idx val="1"/>
              <c:layout>
                <c:manualLayout>
                  <c:x val="-2.9753602975360297E-2"/>
                  <c:y val="3.6529382222879311E-2"/>
                </c:manualLayout>
              </c:layout>
              <c:showLegendKey val="0"/>
              <c:showVal val="1"/>
              <c:showCatName val="0"/>
              <c:showSerName val="0"/>
              <c:showPercent val="0"/>
              <c:showBubbleSize val="0"/>
            </c:dLbl>
            <c:dLbl>
              <c:idx val="2"/>
              <c:layout>
                <c:manualLayout>
                  <c:x val="-3.3472803347280367E-2"/>
                  <c:y val="4.018263684388261E-2"/>
                </c:manualLayout>
              </c:layout>
              <c:showLegendKey val="0"/>
              <c:showVal val="1"/>
              <c:showCatName val="0"/>
              <c:showSerName val="0"/>
              <c:showPercent val="0"/>
              <c:showBubbleSize val="0"/>
            </c:dLbl>
            <c:dLbl>
              <c:idx val="3"/>
              <c:layout>
                <c:manualLayout>
                  <c:x val="-3.1613203161320318E-2"/>
                  <c:y val="3.2876702872267537E-2"/>
                </c:manualLayout>
              </c:layout>
              <c:showLegendKey val="0"/>
              <c:showVal val="1"/>
              <c:showCatName val="0"/>
              <c:showSerName val="0"/>
              <c:showPercent val="0"/>
              <c:showBubbleSize val="0"/>
            </c:dLbl>
            <c:dLbl>
              <c:idx val="4"/>
              <c:layout>
                <c:manualLayout>
                  <c:x val="-2.9753602975360297E-2"/>
                  <c:y val="3.6529382222879311E-2"/>
                </c:manualLayout>
              </c:layout>
              <c:showLegendKey val="0"/>
              <c:showVal val="1"/>
              <c:showCatName val="0"/>
              <c:showSerName val="0"/>
              <c:showPercent val="0"/>
              <c:showBubbleSize val="0"/>
            </c:dLbl>
            <c:dLbl>
              <c:idx val="5"/>
              <c:layout>
                <c:manualLayout>
                  <c:x val="-3.3472803347280332E-2"/>
                  <c:y val="3.2876702872267537E-2"/>
                </c:manualLayout>
              </c:layout>
              <c:showLegendKey val="0"/>
              <c:showVal val="1"/>
              <c:showCatName val="0"/>
              <c:showSerName val="0"/>
              <c:showPercent val="0"/>
              <c:showBubbleSize val="0"/>
            </c:dLbl>
            <c:dLbl>
              <c:idx val="6"/>
              <c:layout>
                <c:manualLayout>
                  <c:x val="-3.1613203161320318E-2"/>
                  <c:y val="4.0182636843882548E-2"/>
                </c:manualLayout>
              </c:layout>
              <c:showLegendKey val="0"/>
              <c:showVal val="1"/>
              <c:showCatName val="0"/>
              <c:showSerName val="0"/>
              <c:showPercent val="0"/>
              <c:showBubbleSize val="0"/>
            </c:dLbl>
            <c:dLbl>
              <c:idx val="7"/>
              <c:layout>
                <c:manualLayout>
                  <c:x val="-3.3472803347280332E-2"/>
                  <c:y val="4.0182636843882548E-2"/>
                </c:manualLayout>
              </c:layout>
              <c:showLegendKey val="0"/>
              <c:showVal val="1"/>
              <c:showCatName val="0"/>
              <c:showSerName val="0"/>
              <c:showPercent val="0"/>
              <c:showBubbleSize val="0"/>
            </c:dLbl>
            <c:dLbl>
              <c:idx val="8"/>
              <c:layout>
                <c:manualLayout>
                  <c:x val="-2.9753602975360297E-2"/>
                  <c:y val="4.3835603829690116E-2"/>
                </c:manualLayout>
              </c:layout>
              <c:showLegendKey val="0"/>
              <c:showVal val="1"/>
              <c:showCatName val="0"/>
              <c:showSerName val="0"/>
              <c:showPercent val="0"/>
              <c:showBubbleSize val="0"/>
            </c:dLbl>
            <c:dLbl>
              <c:idx val="9"/>
              <c:layout>
                <c:manualLayout>
                  <c:x val="-5.5788005578800556E-3"/>
                  <c:y val="2.9223735886460035E-2"/>
                </c:manualLayout>
              </c:layout>
              <c:showLegendKey val="0"/>
              <c:showVal val="1"/>
              <c:showCatName val="0"/>
              <c:showSerName val="0"/>
              <c:showPercent val="0"/>
              <c:showBubbleSize val="0"/>
            </c:dLbl>
            <c:dLbl>
              <c:idx val="10"/>
              <c:layout>
                <c:manualLayout>
                  <c:x val="-5.5788005578800556E-3"/>
                  <c:y val="2.5570768900652529E-2"/>
                </c:manualLayout>
              </c:layout>
              <c:showLegendKey val="0"/>
              <c:showVal val="1"/>
              <c:showCatName val="0"/>
              <c:showSerName val="0"/>
              <c:showPercent val="0"/>
              <c:showBubbleSize val="0"/>
            </c:dLbl>
            <c:dLbl>
              <c:idx val="11"/>
              <c:layout>
                <c:manualLayout>
                  <c:x val="0"/>
                  <c:y val="3.6529669858075043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'lankytoju statistika'!$A$3:$A$14</c:f>
              <c:strCache>
                <c:ptCount val="12"/>
                <c:pt idx="0">
                  <c:v>Sausis</c:v>
                </c:pt>
                <c:pt idx="1">
                  <c:v>Vasaris</c:v>
                </c:pt>
                <c:pt idx="2">
                  <c:v>Kovas</c:v>
                </c:pt>
                <c:pt idx="3">
                  <c:v>Balandis</c:v>
                </c:pt>
                <c:pt idx="4">
                  <c:v>Gegužė</c:v>
                </c:pt>
                <c:pt idx="5">
                  <c:v>Birželis</c:v>
                </c:pt>
                <c:pt idx="6">
                  <c:v>Liepa</c:v>
                </c:pt>
                <c:pt idx="7">
                  <c:v>Rugpjūtis</c:v>
                </c:pt>
                <c:pt idx="8">
                  <c:v>Rugsėjis</c:v>
                </c:pt>
                <c:pt idx="9">
                  <c:v>Spalis</c:v>
                </c:pt>
                <c:pt idx="10">
                  <c:v>Lapkritis</c:v>
                </c:pt>
                <c:pt idx="11">
                  <c:v>Gruodis</c:v>
                </c:pt>
              </c:strCache>
            </c:strRef>
          </c:cat>
          <c:val>
            <c:numRef>
              <c:f>'lankytoju statistika'!$C$3:$C$14</c:f>
              <c:numCache>
                <c:formatCode>General</c:formatCode>
                <c:ptCount val="12"/>
                <c:pt idx="0">
                  <c:v>242</c:v>
                </c:pt>
                <c:pt idx="1">
                  <c:v>424</c:v>
                </c:pt>
                <c:pt idx="2">
                  <c:v>472</c:v>
                </c:pt>
                <c:pt idx="3">
                  <c:v>189</c:v>
                </c:pt>
                <c:pt idx="4">
                  <c:v>325</c:v>
                </c:pt>
                <c:pt idx="5">
                  <c:v>367</c:v>
                </c:pt>
                <c:pt idx="6">
                  <c:v>321</c:v>
                </c:pt>
                <c:pt idx="7">
                  <c:v>228</c:v>
                </c:pt>
                <c:pt idx="8">
                  <c:v>234</c:v>
                </c:pt>
                <c:pt idx="9">
                  <c:v>78</c:v>
                </c:pt>
                <c:pt idx="10">
                  <c:v>80</c:v>
                </c:pt>
                <c:pt idx="11">
                  <c:v>79</c:v>
                </c:pt>
              </c:numCache>
            </c:numRef>
          </c:val>
          <c:smooth val="0"/>
        </c:ser>
        <c:dLbls>
          <c:showLegendKey val="0"/>
          <c:showVal val="1"/>
          <c:showCatName val="0"/>
          <c:showSerName val="0"/>
          <c:showPercent val="0"/>
          <c:showBubbleSize val="0"/>
        </c:dLbls>
        <c:marker val="1"/>
        <c:smooth val="0"/>
        <c:axId val="81686528"/>
        <c:axId val="81688064"/>
      </c:lineChart>
      <c:catAx>
        <c:axId val="81686528"/>
        <c:scaling>
          <c:orientation val="minMax"/>
        </c:scaling>
        <c:delete val="0"/>
        <c:axPos val="b"/>
        <c:majorTickMark val="none"/>
        <c:minorTickMark val="none"/>
        <c:tickLblPos val="nextTo"/>
        <c:txPr>
          <a:bodyPr rot="-5400000" vert="horz"/>
          <a:lstStyle/>
          <a:p>
            <a:pPr>
              <a:defRPr/>
            </a:pPr>
            <a:endParaRPr lang="lt-LT"/>
          </a:p>
        </c:txPr>
        <c:crossAx val="81688064"/>
        <c:crosses val="autoZero"/>
        <c:auto val="1"/>
        <c:lblAlgn val="ctr"/>
        <c:lblOffset val="100"/>
        <c:noMultiLvlLbl val="0"/>
      </c:catAx>
      <c:valAx>
        <c:axId val="81688064"/>
        <c:scaling>
          <c:orientation val="minMax"/>
        </c:scaling>
        <c:delete val="0"/>
        <c:axPos val="l"/>
        <c:majorGridlines/>
        <c:numFmt formatCode="General" sourceLinked="1"/>
        <c:majorTickMark val="none"/>
        <c:minorTickMark val="none"/>
        <c:tickLblPos val="nextTo"/>
        <c:crossAx val="81686528"/>
        <c:crosses val="autoZero"/>
        <c:crossBetween val="between"/>
      </c:valAx>
    </c:plotArea>
    <c:legend>
      <c:legendPos val="r"/>
      <c:layout>
        <c:manualLayout>
          <c:xMode val="edge"/>
          <c:yMode val="edge"/>
          <c:x val="0.18401578463779894"/>
          <c:y val="0.83755083232996586"/>
          <c:w val="0.62444539620831918"/>
          <c:h val="0.13211257121128359"/>
        </c:manualLayout>
      </c:layout>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5.7239405074365701E-2"/>
          <c:y val="7.2219737964853162E-2"/>
          <c:w val="0.88197695189821179"/>
          <c:h val="0.76099131839289325"/>
        </c:manualLayout>
      </c:layout>
      <c:pie3DChart>
        <c:varyColors val="1"/>
        <c:ser>
          <c:idx val="0"/>
          <c:order val="0"/>
          <c:explosion val="25"/>
          <c:dPt>
            <c:idx val="0"/>
            <c:bubble3D val="0"/>
            <c:spPr>
              <a:solidFill>
                <a:srgbClr val="FFFF00"/>
              </a:solidFill>
            </c:spPr>
          </c:dPt>
          <c:dPt>
            <c:idx val="1"/>
            <c:bubble3D val="0"/>
            <c:spPr>
              <a:solidFill>
                <a:schemeClr val="tx2">
                  <a:lumMod val="60000"/>
                  <a:lumOff val="40000"/>
                </a:schemeClr>
              </a:solidFill>
            </c:spPr>
          </c:dPt>
          <c:dLbls>
            <c:txPr>
              <a:bodyPr/>
              <a:lstStyle/>
              <a:p>
                <a:pPr>
                  <a:defRPr b="0"/>
                </a:pPr>
                <a:endParaRPr lang="lt-LT"/>
              </a:p>
            </c:txPr>
            <c:showLegendKey val="0"/>
            <c:showVal val="0"/>
            <c:showCatName val="0"/>
            <c:showSerName val="0"/>
            <c:showPercent val="1"/>
            <c:showBubbleSize val="0"/>
            <c:showLeaderLines val="1"/>
          </c:dLbls>
          <c:cat>
            <c:strRef>
              <c:f>'lankytoju statistika'!$A$42:$A$43</c:f>
              <c:strCache>
                <c:ptCount val="2"/>
                <c:pt idx="0">
                  <c:v>Lietuviai</c:v>
                </c:pt>
                <c:pt idx="1">
                  <c:v>Užsieniečiai</c:v>
                </c:pt>
              </c:strCache>
            </c:strRef>
          </c:cat>
          <c:val>
            <c:numRef>
              <c:f>'lankytoju statistika'!$B$42:$B$43</c:f>
              <c:numCache>
                <c:formatCode>General</c:formatCode>
                <c:ptCount val="2"/>
                <c:pt idx="0">
                  <c:v>9358</c:v>
                </c:pt>
                <c:pt idx="1">
                  <c:v>788</c:v>
                </c:pt>
              </c:numCache>
            </c:numRef>
          </c:val>
        </c:ser>
        <c:dLbls>
          <c:showLegendKey val="0"/>
          <c:showVal val="0"/>
          <c:showCatName val="0"/>
          <c:showSerName val="0"/>
          <c:showPercent val="1"/>
          <c:showBubbleSize val="0"/>
          <c:showLeaderLines val="1"/>
        </c:dLbls>
      </c:pie3DChart>
    </c:plotArea>
    <c:legend>
      <c:legendPos val="t"/>
      <c:layout>
        <c:manualLayout>
          <c:xMode val="edge"/>
          <c:yMode val="edge"/>
          <c:x val="0.1911831659863156"/>
          <c:y val="0.84128568544316573"/>
          <c:w val="0.62693706021790008"/>
          <c:h val="0.12797130962078015"/>
        </c:manualLayout>
      </c:layout>
      <c:overlay val="0"/>
      <c:txPr>
        <a:bodyPr/>
        <a:lstStyle/>
        <a:p>
          <a:pPr>
            <a:defRPr sz="1100"/>
          </a:pPr>
          <a:endParaRPr lang="lt-LT"/>
        </a:p>
      </c:txPr>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tx2">
                <a:lumMod val="60000"/>
                <a:lumOff val="40000"/>
              </a:schemeClr>
            </a:solidFill>
          </c:spPr>
          <c:invertIfNegative val="0"/>
          <c:cat>
            <c:strRef>
              <c:f>'lankytoju statistika'!$A$46:$A$75</c:f>
              <c:strCache>
                <c:ptCount val="30"/>
                <c:pt idx="0">
                  <c:v>Latvija</c:v>
                </c:pt>
                <c:pt idx="1">
                  <c:v>Estija</c:v>
                </c:pt>
                <c:pt idx="2">
                  <c:v>Rusija</c:v>
                </c:pt>
                <c:pt idx="3">
                  <c:v>Norvegija</c:v>
                </c:pt>
                <c:pt idx="4">
                  <c:v>Lenkija</c:v>
                </c:pt>
                <c:pt idx="5">
                  <c:v>Prancūzija</c:v>
                </c:pt>
                <c:pt idx="6">
                  <c:v>Vokietija</c:v>
                </c:pt>
                <c:pt idx="7">
                  <c:v>Didžioji Britanija</c:v>
                </c:pt>
                <c:pt idx="8">
                  <c:v>Italija</c:v>
                </c:pt>
                <c:pt idx="9">
                  <c:v>Baltarusija</c:v>
                </c:pt>
                <c:pt idx="10">
                  <c:v>Suomija</c:v>
                </c:pt>
                <c:pt idx="11">
                  <c:v>Nyderlandai</c:v>
                </c:pt>
                <c:pt idx="12">
                  <c:v>Čekija</c:v>
                </c:pt>
                <c:pt idx="13">
                  <c:v>Švedija</c:v>
                </c:pt>
                <c:pt idx="14">
                  <c:v>Ispanija</c:v>
                </c:pt>
                <c:pt idx="15">
                  <c:v>Turkija</c:v>
                </c:pt>
                <c:pt idx="16">
                  <c:v>Danija</c:v>
                </c:pt>
                <c:pt idx="17">
                  <c:v>Bulgarija</c:v>
                </c:pt>
                <c:pt idx="18">
                  <c:v>Kinija</c:v>
                </c:pt>
                <c:pt idx="19">
                  <c:v>Graikija</c:v>
                </c:pt>
                <c:pt idx="20">
                  <c:v>JAV</c:v>
                </c:pt>
                <c:pt idx="21">
                  <c:v>Izraelis</c:v>
                </c:pt>
                <c:pt idx="22">
                  <c:v>Airija</c:v>
                </c:pt>
                <c:pt idx="23">
                  <c:v>Kanada</c:v>
                </c:pt>
                <c:pt idx="24">
                  <c:v>Portugalija</c:v>
                </c:pt>
                <c:pt idx="25">
                  <c:v>Belgija</c:v>
                </c:pt>
                <c:pt idx="26">
                  <c:v>Brazilija</c:v>
                </c:pt>
                <c:pt idx="27">
                  <c:v>Argentina</c:v>
                </c:pt>
                <c:pt idx="28">
                  <c:v>Čilė</c:v>
                </c:pt>
                <c:pt idx="29">
                  <c:v>Kolumbija</c:v>
                </c:pt>
              </c:strCache>
            </c:strRef>
          </c:cat>
          <c:val>
            <c:numRef>
              <c:f>'lankytoju statistika'!$B$46:$B$75</c:f>
              <c:numCache>
                <c:formatCode>General</c:formatCode>
                <c:ptCount val="30"/>
                <c:pt idx="0">
                  <c:v>271</c:v>
                </c:pt>
                <c:pt idx="1">
                  <c:v>61</c:v>
                </c:pt>
                <c:pt idx="2">
                  <c:v>57</c:v>
                </c:pt>
                <c:pt idx="3">
                  <c:v>41</c:v>
                </c:pt>
                <c:pt idx="4">
                  <c:v>39</c:v>
                </c:pt>
                <c:pt idx="5">
                  <c:v>38</c:v>
                </c:pt>
                <c:pt idx="6">
                  <c:v>35</c:v>
                </c:pt>
                <c:pt idx="7">
                  <c:v>32</c:v>
                </c:pt>
                <c:pt idx="8">
                  <c:v>28</c:v>
                </c:pt>
                <c:pt idx="9">
                  <c:v>25</c:v>
                </c:pt>
                <c:pt idx="10">
                  <c:v>25</c:v>
                </c:pt>
                <c:pt idx="11">
                  <c:v>23</c:v>
                </c:pt>
                <c:pt idx="12">
                  <c:v>20</c:v>
                </c:pt>
                <c:pt idx="13">
                  <c:v>14</c:v>
                </c:pt>
                <c:pt idx="14">
                  <c:v>13</c:v>
                </c:pt>
                <c:pt idx="15">
                  <c:v>11</c:v>
                </c:pt>
                <c:pt idx="16">
                  <c:v>9</c:v>
                </c:pt>
                <c:pt idx="17">
                  <c:v>8</c:v>
                </c:pt>
                <c:pt idx="18">
                  <c:v>6</c:v>
                </c:pt>
                <c:pt idx="19">
                  <c:v>6</c:v>
                </c:pt>
                <c:pt idx="20">
                  <c:v>5</c:v>
                </c:pt>
                <c:pt idx="21">
                  <c:v>4</c:v>
                </c:pt>
                <c:pt idx="22">
                  <c:v>4</c:v>
                </c:pt>
                <c:pt idx="23">
                  <c:v>2</c:v>
                </c:pt>
                <c:pt idx="24">
                  <c:v>2</c:v>
                </c:pt>
                <c:pt idx="25">
                  <c:v>2</c:v>
                </c:pt>
                <c:pt idx="26">
                  <c:v>2</c:v>
                </c:pt>
                <c:pt idx="27">
                  <c:v>2</c:v>
                </c:pt>
                <c:pt idx="28">
                  <c:v>2</c:v>
                </c:pt>
                <c:pt idx="29">
                  <c:v>1</c:v>
                </c:pt>
              </c:numCache>
            </c:numRef>
          </c:val>
        </c:ser>
        <c:dLbls>
          <c:showLegendKey val="0"/>
          <c:showVal val="1"/>
          <c:showCatName val="0"/>
          <c:showSerName val="0"/>
          <c:showPercent val="0"/>
          <c:showBubbleSize val="0"/>
        </c:dLbls>
        <c:gapWidth val="30"/>
        <c:axId val="81823232"/>
        <c:axId val="81824768"/>
      </c:barChart>
      <c:catAx>
        <c:axId val="81823232"/>
        <c:scaling>
          <c:orientation val="minMax"/>
        </c:scaling>
        <c:delete val="0"/>
        <c:axPos val="l"/>
        <c:majorTickMark val="none"/>
        <c:minorTickMark val="none"/>
        <c:tickLblPos val="nextTo"/>
        <c:crossAx val="81824768"/>
        <c:crosses val="autoZero"/>
        <c:auto val="1"/>
        <c:lblAlgn val="ctr"/>
        <c:lblOffset val="100"/>
        <c:noMultiLvlLbl val="0"/>
      </c:catAx>
      <c:valAx>
        <c:axId val="81824768"/>
        <c:scaling>
          <c:orientation val="minMax"/>
        </c:scaling>
        <c:delete val="0"/>
        <c:axPos val="b"/>
        <c:numFmt formatCode="General" sourceLinked="1"/>
        <c:majorTickMark val="none"/>
        <c:minorTickMark val="none"/>
        <c:tickLblPos val="nextTo"/>
        <c:crossAx val="81823232"/>
        <c:crosses val="autoZero"/>
        <c:crossBetween val="between"/>
      </c:valAx>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tx2">
                <a:lumMod val="60000"/>
                <a:lumOff val="40000"/>
              </a:schemeClr>
            </a:solidFill>
          </c:spPr>
          <c:invertIfNegative val="0"/>
          <c:cat>
            <c:strRef>
              <c:f>'svetaines statistika'!$A$3:$A$7</c:f>
              <c:strCache>
                <c:ptCount val="5"/>
                <c:pt idx="0">
                  <c:v>2015 m. </c:v>
                </c:pt>
                <c:pt idx="1">
                  <c:v>2016 m. </c:v>
                </c:pt>
                <c:pt idx="2">
                  <c:v>2017 m. </c:v>
                </c:pt>
                <c:pt idx="3">
                  <c:v>2018 m.</c:v>
                </c:pt>
                <c:pt idx="4">
                  <c:v>2019 m.</c:v>
                </c:pt>
              </c:strCache>
            </c:strRef>
          </c:cat>
          <c:val>
            <c:numRef>
              <c:f>'svetaines statistika'!$B$3:$B$7</c:f>
              <c:numCache>
                <c:formatCode>General</c:formatCode>
                <c:ptCount val="5"/>
                <c:pt idx="0">
                  <c:v>65423</c:v>
                </c:pt>
                <c:pt idx="1">
                  <c:v>71464</c:v>
                </c:pt>
                <c:pt idx="2">
                  <c:v>83544</c:v>
                </c:pt>
                <c:pt idx="3">
                  <c:v>93661</c:v>
                </c:pt>
                <c:pt idx="4">
                  <c:v>97497</c:v>
                </c:pt>
              </c:numCache>
            </c:numRef>
          </c:val>
        </c:ser>
        <c:dLbls>
          <c:showLegendKey val="0"/>
          <c:showVal val="1"/>
          <c:showCatName val="0"/>
          <c:showSerName val="0"/>
          <c:showPercent val="0"/>
          <c:showBubbleSize val="0"/>
        </c:dLbls>
        <c:gapWidth val="150"/>
        <c:overlap val="-25"/>
        <c:axId val="82057856"/>
        <c:axId val="82092416"/>
      </c:barChart>
      <c:catAx>
        <c:axId val="82057856"/>
        <c:scaling>
          <c:orientation val="minMax"/>
        </c:scaling>
        <c:delete val="0"/>
        <c:axPos val="b"/>
        <c:majorTickMark val="none"/>
        <c:minorTickMark val="none"/>
        <c:tickLblPos val="nextTo"/>
        <c:crossAx val="82092416"/>
        <c:crosses val="autoZero"/>
        <c:auto val="1"/>
        <c:lblAlgn val="ctr"/>
        <c:lblOffset val="100"/>
        <c:noMultiLvlLbl val="0"/>
      </c:catAx>
      <c:valAx>
        <c:axId val="82092416"/>
        <c:scaling>
          <c:orientation val="minMax"/>
        </c:scaling>
        <c:delete val="1"/>
        <c:axPos val="l"/>
        <c:numFmt formatCode="General" sourceLinked="1"/>
        <c:majorTickMark val="out"/>
        <c:minorTickMark val="none"/>
        <c:tickLblPos val="nextTo"/>
        <c:crossAx val="82057856"/>
        <c:crosses val="autoZero"/>
        <c:crossBetween val="between"/>
      </c:valAx>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lineChart>
        <c:grouping val="standard"/>
        <c:varyColors val="0"/>
        <c:ser>
          <c:idx val="0"/>
          <c:order val="0"/>
          <c:spPr>
            <a:ln>
              <a:solidFill>
                <a:schemeClr val="tx2">
                  <a:lumMod val="60000"/>
                  <a:lumOff val="40000"/>
                </a:schemeClr>
              </a:solidFill>
            </a:ln>
          </c:spPr>
          <c:marker>
            <c:spPr>
              <a:solidFill>
                <a:schemeClr val="tx2">
                  <a:lumMod val="60000"/>
                  <a:lumOff val="40000"/>
                </a:schemeClr>
              </a:solidFill>
              <a:ln>
                <a:noFill/>
              </a:ln>
            </c:spPr>
          </c:marker>
          <c:dLbls>
            <c:dLbl>
              <c:idx val="0"/>
              <c:layout>
                <c:manualLayout>
                  <c:x val="-3.5608308605341248E-2"/>
                  <c:y val="5.0632911392405063E-2"/>
                </c:manualLayout>
              </c:layout>
              <c:showLegendKey val="0"/>
              <c:showVal val="1"/>
              <c:showCatName val="0"/>
              <c:showSerName val="0"/>
              <c:showPercent val="0"/>
              <c:showBubbleSize val="0"/>
            </c:dLbl>
            <c:dLbl>
              <c:idx val="1"/>
              <c:layout>
                <c:manualLayout>
                  <c:x val="-3.5608308605341248E-2"/>
                  <c:y val="5.0632911392405063E-2"/>
                </c:manualLayout>
              </c:layout>
              <c:showLegendKey val="0"/>
              <c:showVal val="1"/>
              <c:showCatName val="0"/>
              <c:showSerName val="0"/>
              <c:showPercent val="0"/>
              <c:showBubbleSize val="0"/>
            </c:dLbl>
            <c:dLbl>
              <c:idx val="2"/>
              <c:layout>
                <c:manualLayout>
                  <c:x val="-4.1543026706231452E-2"/>
                  <c:y val="4.6413502109704644E-2"/>
                </c:manualLayout>
              </c:layout>
              <c:showLegendKey val="0"/>
              <c:showVal val="1"/>
              <c:showCatName val="0"/>
              <c:showSerName val="0"/>
              <c:showPercent val="0"/>
              <c:showBubbleSize val="0"/>
            </c:dLbl>
            <c:dLbl>
              <c:idx val="3"/>
              <c:layout>
                <c:manualLayout>
                  <c:x val="-4.1543026706231452E-2"/>
                  <c:y val="4.2194092827004218E-2"/>
                </c:manualLayout>
              </c:layout>
              <c:showLegendKey val="0"/>
              <c:showVal val="1"/>
              <c:showCatName val="0"/>
              <c:showSerName val="0"/>
              <c:showPercent val="0"/>
              <c:showBubbleSize val="0"/>
            </c:dLbl>
            <c:dLbl>
              <c:idx val="4"/>
              <c:layout>
                <c:manualLayout>
                  <c:x val="-3.3630069238377844E-2"/>
                  <c:y val="5.0632911392405063E-2"/>
                </c:manualLayout>
              </c:layout>
              <c:showLegendKey val="0"/>
              <c:showVal val="1"/>
              <c:showCatName val="0"/>
              <c:showSerName val="0"/>
              <c:showPercent val="0"/>
              <c:showBubbleSize val="0"/>
            </c:dLbl>
            <c:dLbl>
              <c:idx val="5"/>
              <c:layout>
                <c:manualLayout>
                  <c:x val="-2.967359050445104E-2"/>
                  <c:y val="4.2194092827004218E-2"/>
                </c:manualLayout>
              </c:layout>
              <c:showLegendKey val="0"/>
              <c:showVal val="1"/>
              <c:showCatName val="0"/>
              <c:showSerName val="0"/>
              <c:showPercent val="0"/>
              <c:showBubbleSize val="0"/>
            </c:dLbl>
            <c:dLbl>
              <c:idx val="6"/>
              <c:layout>
                <c:manualLayout>
                  <c:x val="-4.7477744807121663E-2"/>
                  <c:y val="-3.7974683544303799E-2"/>
                </c:manualLayout>
              </c:layout>
              <c:showLegendKey val="0"/>
              <c:showVal val="1"/>
              <c:showCatName val="0"/>
              <c:showSerName val="0"/>
              <c:showPercent val="0"/>
              <c:showBubbleSize val="0"/>
            </c:dLbl>
            <c:dLbl>
              <c:idx val="7"/>
              <c:layout>
                <c:manualLayout>
                  <c:x val="-1.1869436201780416E-2"/>
                  <c:y val="-1.2658227848101266E-2"/>
                </c:manualLayout>
              </c:layout>
              <c:showLegendKey val="0"/>
              <c:showVal val="1"/>
              <c:showCatName val="0"/>
              <c:showSerName val="0"/>
              <c:showPercent val="0"/>
              <c:showBubbleSize val="0"/>
            </c:dLbl>
            <c:dLbl>
              <c:idx val="8"/>
              <c:layout>
                <c:manualLayout>
                  <c:x val="-4.1543026706231452E-2"/>
                  <c:y val="3.3755274261603373E-2"/>
                </c:manualLayout>
              </c:layout>
              <c:showLegendKey val="0"/>
              <c:showVal val="1"/>
              <c:showCatName val="0"/>
              <c:showSerName val="0"/>
              <c:showPercent val="0"/>
              <c:showBubbleSize val="0"/>
            </c:dLbl>
            <c:dLbl>
              <c:idx val="9"/>
              <c:layout>
                <c:manualLayout>
                  <c:x val="-3.7586547972304651E-2"/>
                  <c:y val="-4.6413502109704644E-2"/>
                </c:manualLayout>
              </c:layout>
              <c:showLegendKey val="0"/>
              <c:showVal val="1"/>
              <c:showCatName val="0"/>
              <c:showSerName val="0"/>
              <c:showPercent val="0"/>
              <c:showBubbleSize val="0"/>
            </c:dLbl>
            <c:dLbl>
              <c:idx val="10"/>
              <c:layout>
                <c:manualLayout>
                  <c:x val="-4.1543026706231452E-2"/>
                  <c:y val="5.0632911392405063E-2"/>
                </c:manualLayout>
              </c:layout>
              <c:showLegendKey val="0"/>
              <c:showVal val="1"/>
              <c:showCatName val="0"/>
              <c:showSerName val="0"/>
              <c:showPercent val="0"/>
              <c:showBubbleSize val="0"/>
            </c:dLbl>
            <c:dLbl>
              <c:idx val="11"/>
              <c:layout>
                <c:manualLayout>
                  <c:x val="-2.5717111770524232E-2"/>
                  <c:y val="-5.4852320675105447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'svetaines statistika'!$A$11:$A$22</c:f>
              <c:strCache>
                <c:ptCount val="12"/>
                <c:pt idx="0">
                  <c:v>Sausis</c:v>
                </c:pt>
                <c:pt idx="1">
                  <c:v>Vasaris</c:v>
                </c:pt>
                <c:pt idx="2">
                  <c:v>Kovas</c:v>
                </c:pt>
                <c:pt idx="3">
                  <c:v>Balandis</c:v>
                </c:pt>
                <c:pt idx="4">
                  <c:v>Gegužė</c:v>
                </c:pt>
                <c:pt idx="5">
                  <c:v>Birželis</c:v>
                </c:pt>
                <c:pt idx="6">
                  <c:v>Liepa</c:v>
                </c:pt>
                <c:pt idx="7">
                  <c:v>Rugpjūtis</c:v>
                </c:pt>
                <c:pt idx="8">
                  <c:v>Rugsėjis</c:v>
                </c:pt>
                <c:pt idx="9">
                  <c:v>Spalis</c:v>
                </c:pt>
                <c:pt idx="10">
                  <c:v>Lapkritis</c:v>
                </c:pt>
                <c:pt idx="11">
                  <c:v>Gruodis</c:v>
                </c:pt>
              </c:strCache>
            </c:strRef>
          </c:cat>
          <c:val>
            <c:numRef>
              <c:f>'svetaines statistika'!$B$11:$B$22</c:f>
              <c:numCache>
                <c:formatCode>General</c:formatCode>
                <c:ptCount val="12"/>
                <c:pt idx="0">
                  <c:v>6315</c:v>
                </c:pt>
                <c:pt idx="1">
                  <c:v>6676</c:v>
                </c:pt>
                <c:pt idx="2">
                  <c:v>7327</c:v>
                </c:pt>
                <c:pt idx="3">
                  <c:v>7399</c:v>
                </c:pt>
                <c:pt idx="4">
                  <c:v>9058</c:v>
                </c:pt>
                <c:pt idx="5">
                  <c:v>10756</c:v>
                </c:pt>
                <c:pt idx="6">
                  <c:v>13310</c:v>
                </c:pt>
                <c:pt idx="7">
                  <c:v>12000</c:v>
                </c:pt>
                <c:pt idx="8">
                  <c:v>4865</c:v>
                </c:pt>
                <c:pt idx="9">
                  <c:v>6241</c:v>
                </c:pt>
                <c:pt idx="10">
                  <c:v>6179</c:v>
                </c:pt>
                <c:pt idx="11">
                  <c:v>7371</c:v>
                </c:pt>
              </c:numCache>
            </c:numRef>
          </c:val>
          <c:smooth val="0"/>
        </c:ser>
        <c:dLbls>
          <c:showLegendKey val="0"/>
          <c:showVal val="1"/>
          <c:showCatName val="0"/>
          <c:showSerName val="0"/>
          <c:showPercent val="0"/>
          <c:showBubbleSize val="0"/>
        </c:dLbls>
        <c:marker val="1"/>
        <c:smooth val="0"/>
        <c:axId val="82102912"/>
        <c:axId val="82105856"/>
      </c:lineChart>
      <c:catAx>
        <c:axId val="82102912"/>
        <c:scaling>
          <c:orientation val="minMax"/>
        </c:scaling>
        <c:delete val="0"/>
        <c:axPos val="b"/>
        <c:majorTickMark val="none"/>
        <c:minorTickMark val="none"/>
        <c:tickLblPos val="nextTo"/>
        <c:txPr>
          <a:bodyPr rot="-5400000" vert="horz"/>
          <a:lstStyle/>
          <a:p>
            <a:pPr>
              <a:defRPr b="0"/>
            </a:pPr>
            <a:endParaRPr lang="lt-LT"/>
          </a:p>
        </c:txPr>
        <c:crossAx val="82105856"/>
        <c:crosses val="autoZero"/>
        <c:auto val="1"/>
        <c:lblAlgn val="ctr"/>
        <c:lblOffset val="100"/>
        <c:noMultiLvlLbl val="0"/>
      </c:catAx>
      <c:valAx>
        <c:axId val="82105856"/>
        <c:scaling>
          <c:orientation val="minMax"/>
        </c:scaling>
        <c:delete val="0"/>
        <c:axPos val="l"/>
        <c:majorGridlines/>
        <c:numFmt formatCode="General" sourceLinked="1"/>
        <c:majorTickMark val="none"/>
        <c:minorTickMark val="none"/>
        <c:tickLblPos val="nextTo"/>
        <c:crossAx val="82102912"/>
        <c:crosses val="autoZero"/>
        <c:crossBetween val="between"/>
      </c:valAx>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8.7049490435317206E-2"/>
          <c:y val="9.7582020997375327E-2"/>
          <c:w val="0.81388888888888888"/>
          <c:h val="0.67559018664333625"/>
        </c:manualLayout>
      </c:layout>
      <c:pie3DChart>
        <c:varyColors val="1"/>
        <c:ser>
          <c:idx val="0"/>
          <c:order val="0"/>
          <c:explosion val="25"/>
          <c:dPt>
            <c:idx val="0"/>
            <c:bubble3D val="0"/>
            <c:spPr>
              <a:solidFill>
                <a:srgbClr val="FFFF00"/>
              </a:solidFill>
            </c:spPr>
          </c:dPt>
          <c:dPt>
            <c:idx val="1"/>
            <c:bubble3D val="0"/>
            <c:spPr>
              <a:solidFill>
                <a:schemeClr val="tx2">
                  <a:lumMod val="60000"/>
                  <a:lumOff val="40000"/>
                </a:schemeClr>
              </a:solidFill>
            </c:spPr>
          </c:dPt>
          <c:dLbls>
            <c:showLegendKey val="0"/>
            <c:showVal val="0"/>
            <c:showCatName val="0"/>
            <c:showSerName val="0"/>
            <c:showPercent val="1"/>
            <c:showBubbleSize val="0"/>
            <c:showLeaderLines val="1"/>
          </c:dLbls>
          <c:cat>
            <c:strRef>
              <c:f>'svetaines statistika'!$A$142:$A$143</c:f>
              <c:strCache>
                <c:ptCount val="2"/>
                <c:pt idx="0">
                  <c:v>Lietuva</c:v>
                </c:pt>
                <c:pt idx="1">
                  <c:v>Užsienio šalys</c:v>
                </c:pt>
              </c:strCache>
            </c:strRef>
          </c:cat>
          <c:val>
            <c:numRef>
              <c:f>'svetaines statistika'!$B$142:$B$143</c:f>
              <c:numCache>
                <c:formatCode>General</c:formatCode>
                <c:ptCount val="2"/>
                <c:pt idx="0">
                  <c:v>91857</c:v>
                </c:pt>
                <c:pt idx="1">
                  <c:v>5640</c:v>
                </c:pt>
              </c:numCache>
            </c:numRef>
          </c:val>
        </c:ser>
        <c:dLbls>
          <c:showLegendKey val="0"/>
          <c:showVal val="0"/>
          <c:showCatName val="0"/>
          <c:showSerName val="0"/>
          <c:showPercent val="1"/>
          <c:showBubbleSize val="0"/>
          <c:showLeaderLines val="1"/>
        </c:dLbls>
      </c:pie3DChart>
    </c:plotArea>
    <c:legend>
      <c:legendPos val="t"/>
      <c:layout>
        <c:manualLayout>
          <c:xMode val="edge"/>
          <c:yMode val="edge"/>
          <c:x val="0.26512000189165541"/>
          <c:y val="0.85185185185185186"/>
          <c:w val="0.46928802818566601"/>
          <c:h val="8.8690215806357539E-2"/>
        </c:manualLayout>
      </c:layout>
      <c:overlay val="0"/>
    </c:legend>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lt-L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7.5608529356729876E-2"/>
          <c:y val="0.1723037208584221"/>
          <c:w val="0.83380167008734107"/>
          <c:h val="0.80598079357727348"/>
        </c:manualLayout>
      </c:layout>
      <c:pie3DChart>
        <c:varyColors val="1"/>
        <c:ser>
          <c:idx val="0"/>
          <c:order val="0"/>
          <c:explosion val="25"/>
          <c:dPt>
            <c:idx val="0"/>
            <c:bubble3D val="0"/>
            <c:spPr>
              <a:solidFill>
                <a:schemeClr val="tx2">
                  <a:lumMod val="60000"/>
                  <a:lumOff val="40000"/>
                </a:schemeClr>
              </a:solidFill>
            </c:spPr>
          </c:dPt>
          <c:dPt>
            <c:idx val="2"/>
            <c:bubble3D val="0"/>
            <c:spPr>
              <a:solidFill>
                <a:srgbClr val="FFFF00"/>
              </a:solidFill>
            </c:spPr>
          </c:dPt>
          <c:dPt>
            <c:idx val="4"/>
            <c:bubble3D val="0"/>
            <c:spPr>
              <a:solidFill>
                <a:schemeClr val="accent3">
                  <a:lumMod val="75000"/>
                </a:schemeClr>
              </a:solidFill>
            </c:spPr>
          </c:dPt>
          <c:dLbls>
            <c:dLbl>
              <c:idx val="1"/>
              <c:layout>
                <c:manualLayout>
                  <c:x val="-6.9455290691403299E-2"/>
                  <c:y val="0.21700437445319334"/>
                </c:manualLayout>
              </c:layout>
              <c:showLegendKey val="0"/>
              <c:showVal val="0"/>
              <c:showCatName val="1"/>
              <c:showSerName val="0"/>
              <c:showPercent val="1"/>
              <c:showBubbleSize val="0"/>
            </c:dLbl>
            <c:dLbl>
              <c:idx val="2"/>
              <c:layout>
                <c:manualLayout>
                  <c:x val="-0.18055926441958411"/>
                  <c:y val="3.9056600277906438E-2"/>
                </c:manualLayout>
              </c:layout>
              <c:showLegendKey val="0"/>
              <c:showVal val="0"/>
              <c:showCatName val="1"/>
              <c:showSerName val="0"/>
              <c:showPercent val="1"/>
              <c:showBubbleSize val="0"/>
            </c:dLbl>
            <c:dLbl>
              <c:idx val="3"/>
              <c:layout>
                <c:manualLayout>
                  <c:x val="-2.1048907215059833E-2"/>
                  <c:y val="-3.2676856569399415E-3"/>
                </c:manualLayout>
              </c:layout>
              <c:showLegendKey val="0"/>
              <c:showVal val="0"/>
              <c:showCatName val="1"/>
              <c:showSerName val="0"/>
              <c:showPercent val="1"/>
              <c:showBubbleSize val="0"/>
            </c:dLbl>
            <c:dLbl>
              <c:idx val="5"/>
              <c:layout>
                <c:manualLayout>
                  <c:x val="0.16752655397937072"/>
                  <c:y val="-7.5986125000523036E-3"/>
                </c:manualLayout>
              </c:layout>
              <c:showLegendKey val="0"/>
              <c:showVal val="0"/>
              <c:showCatName val="1"/>
              <c:showSerName val="0"/>
              <c:showPercent val="1"/>
              <c:showBubbleSize val="0"/>
            </c:dLbl>
            <c:dLbl>
              <c:idx val="6"/>
              <c:layout>
                <c:manualLayout>
                  <c:x val="0.27835514691729712"/>
                  <c:y val="4.9940640594681958E-2"/>
                </c:manualLayout>
              </c:layout>
              <c:showLegendKey val="0"/>
              <c:showVal val="0"/>
              <c:showCatName val="1"/>
              <c:showSerName val="0"/>
              <c:showPercent val="1"/>
              <c:showBubbleSize val="0"/>
            </c:dLbl>
            <c:showLegendKey val="0"/>
            <c:showVal val="0"/>
            <c:showCatName val="1"/>
            <c:showSerName val="0"/>
            <c:showPercent val="1"/>
            <c:showBubbleSize val="0"/>
            <c:showLeaderLines val="1"/>
          </c:dLbls>
          <c:cat>
            <c:strRef>
              <c:f>'svetaines statistika'!$A$148:$A$154</c:f>
              <c:strCache>
                <c:ptCount val="7"/>
                <c:pt idx="0">
                  <c:v>Europa</c:v>
                </c:pt>
                <c:pt idx="1">
                  <c:v>Šiaurės Amerika</c:v>
                </c:pt>
                <c:pt idx="2">
                  <c:v>Azija</c:v>
                </c:pt>
                <c:pt idx="3">
                  <c:v>Nenustatyta</c:v>
                </c:pt>
                <c:pt idx="4">
                  <c:v>Afrika</c:v>
                </c:pt>
                <c:pt idx="5">
                  <c:v>Australija</c:v>
                </c:pt>
                <c:pt idx="6">
                  <c:v>Pietų Amerika</c:v>
                </c:pt>
              </c:strCache>
            </c:strRef>
          </c:cat>
          <c:val>
            <c:numRef>
              <c:f>'svetaines statistika'!$B$148:$B$154</c:f>
              <c:numCache>
                <c:formatCode>General</c:formatCode>
                <c:ptCount val="7"/>
                <c:pt idx="0">
                  <c:v>4516</c:v>
                </c:pt>
                <c:pt idx="1">
                  <c:v>683</c:v>
                </c:pt>
                <c:pt idx="2">
                  <c:v>285</c:v>
                </c:pt>
                <c:pt idx="3">
                  <c:v>92</c:v>
                </c:pt>
                <c:pt idx="4">
                  <c:v>46</c:v>
                </c:pt>
                <c:pt idx="5">
                  <c:v>17</c:v>
                </c:pt>
                <c:pt idx="6">
                  <c:v>1</c:v>
                </c:pt>
              </c:numCache>
            </c:numRef>
          </c:val>
        </c:ser>
        <c:dLbls>
          <c:showLegendKey val="0"/>
          <c:showVal val="0"/>
          <c:showCatName val="1"/>
          <c:showSerName val="0"/>
          <c:showPercent val="1"/>
          <c:showBubbleSize val="0"/>
          <c:showLeaderLines val="1"/>
        </c:dLbls>
      </c:pie3DChart>
    </c:plotArea>
    <c:plotVisOnly val="1"/>
    <c:dispBlanksAs val="gap"/>
    <c:showDLblsOverMax val="0"/>
  </c:chart>
  <c:txPr>
    <a:bodyPr/>
    <a:lstStyle/>
    <a:p>
      <a:pPr>
        <a:defRPr sz="1200">
          <a:latin typeface="Times New Roman" panose="02020603050405020304" pitchFamily="18" charset="0"/>
          <a:cs typeface="Times New Roman" panose="02020603050405020304" pitchFamily="18" charset="0"/>
        </a:defRPr>
      </a:pPr>
      <a:endParaRPr lang="lt-LT"/>
    </a:p>
  </c:txPr>
  <c:externalData r:id="rId1">
    <c:autoUpdate val="0"/>
  </c:externalData>
</c:chartSpace>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597</TotalTime>
  <Pages>8</Pages>
  <Words>8014</Words>
  <Characters>4568</Characters>
  <Application>Microsoft Office Word</Application>
  <DocSecurity>0</DocSecurity>
  <Lines>38</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47</cp:revision>
  <cp:lastPrinted>2020-03-05T14:14:00Z</cp:lastPrinted>
  <dcterms:created xsi:type="dcterms:W3CDTF">2020-02-20T11:09:00Z</dcterms:created>
  <dcterms:modified xsi:type="dcterms:W3CDTF">2020-03-05T14:44:00Z</dcterms:modified>
</cp:coreProperties>
</file>