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2C72" w:rsidRPr="002A54B7" w:rsidRDefault="00E529CA" w:rsidP="00BE2C72">
      <w:pPr>
        <w:jc w:val="center"/>
        <w:rPr>
          <w:sz w:val="28"/>
          <w:szCs w:val="28"/>
        </w:rPr>
      </w:pPr>
      <w:r>
        <w:rPr>
          <w:b/>
          <w:sz w:val="28"/>
          <w:szCs w:val="28"/>
        </w:rPr>
        <w:t>20</w:t>
      </w:r>
      <w:r w:rsidR="00D81C43">
        <w:rPr>
          <w:b/>
          <w:sz w:val="28"/>
          <w:szCs w:val="28"/>
        </w:rPr>
        <w:t>20</w:t>
      </w:r>
      <w:r w:rsidR="00BE2C72" w:rsidRPr="002A54B7">
        <w:rPr>
          <w:b/>
          <w:sz w:val="28"/>
          <w:szCs w:val="28"/>
        </w:rPr>
        <w:t xml:space="preserve"> M. UTENOS TURIZMO INFORMACIJOS CENTRO </w:t>
      </w:r>
      <w:r>
        <w:rPr>
          <w:b/>
          <w:sz w:val="28"/>
          <w:szCs w:val="28"/>
        </w:rPr>
        <w:t xml:space="preserve">RENKAMOS </w:t>
      </w:r>
      <w:r w:rsidR="00BE2C72" w:rsidRPr="002A54B7">
        <w:rPr>
          <w:b/>
          <w:sz w:val="28"/>
          <w:szCs w:val="28"/>
        </w:rPr>
        <w:t>LANKYTOJŲ STATISTIKOS ATASKAITA</w:t>
      </w:r>
    </w:p>
    <w:p w:rsidR="00BE2C72" w:rsidRDefault="00BE2C72" w:rsidP="00BE2C72">
      <w:pPr>
        <w:ind w:firstLine="1298"/>
        <w:jc w:val="both"/>
      </w:pPr>
    </w:p>
    <w:p w:rsidR="00D81C43" w:rsidRDefault="00BE2C72" w:rsidP="00BE2C72">
      <w:pPr>
        <w:ind w:firstLine="1298"/>
        <w:jc w:val="both"/>
      </w:pPr>
      <w:r w:rsidRPr="002A54B7">
        <w:t>VšĮ Utenos turizmo informacijos centro</w:t>
      </w:r>
      <w:r w:rsidR="00E529CA">
        <w:t xml:space="preserve"> (toliau</w:t>
      </w:r>
      <w:r w:rsidR="002C58D3">
        <w:t xml:space="preserve"> </w:t>
      </w:r>
      <w:r w:rsidR="00F619AD">
        <w:t>–</w:t>
      </w:r>
      <w:r w:rsidR="00E529CA">
        <w:t xml:space="preserve"> Utenos TIC)</w:t>
      </w:r>
      <w:r w:rsidR="00D81C43">
        <w:t xml:space="preserve"> viena iš veiklų</w:t>
      </w:r>
      <w:r w:rsidRPr="002A54B7">
        <w:t xml:space="preserve"> yra </w:t>
      </w:r>
      <w:r w:rsidR="00E529CA">
        <w:t>rinkti</w:t>
      </w:r>
      <w:r w:rsidRPr="002A54B7">
        <w:t xml:space="preserve"> lankytojų statistiką, ją a</w:t>
      </w:r>
      <w:r w:rsidR="00D81C43">
        <w:t xml:space="preserve">pibendrinti ir išanalizuoti. </w:t>
      </w:r>
    </w:p>
    <w:p w:rsidR="00D81C43" w:rsidRDefault="00D81C43" w:rsidP="00D81C43">
      <w:pPr>
        <w:ind w:firstLine="1298"/>
        <w:jc w:val="both"/>
      </w:pPr>
    </w:p>
    <w:p w:rsidR="00D81C43" w:rsidRPr="007D71D3" w:rsidRDefault="00201991" w:rsidP="007D71D3">
      <w:pPr>
        <w:jc w:val="both"/>
      </w:pPr>
      <w:r w:rsidRPr="00201991">
        <w:rPr>
          <w:b/>
        </w:rPr>
        <w:t>TIKSLAS:</w:t>
      </w:r>
      <w:r w:rsidRPr="007D71D3">
        <w:t xml:space="preserve"> </w:t>
      </w:r>
      <w:r w:rsidR="00D81C43" w:rsidRPr="007D71D3">
        <w:t xml:space="preserve">išanalizuoti Utenos TIC 2020 m. lankytojų bei prisijungimų prie </w:t>
      </w:r>
      <w:r w:rsidR="00D81C43" w:rsidRPr="000775CD">
        <w:t>internetin</w:t>
      </w:r>
      <w:r w:rsidR="000775CD" w:rsidRPr="000775CD">
        <w:t>ė</w:t>
      </w:r>
      <w:r w:rsidR="00D81C43" w:rsidRPr="000775CD">
        <w:t>s</w:t>
      </w:r>
      <w:r w:rsidR="00D81C43" w:rsidRPr="007D71D3">
        <w:t xml:space="preserve"> sv</w:t>
      </w:r>
      <w:r w:rsidR="007D71D3" w:rsidRPr="007D71D3">
        <w:t>etainės statistikos duomenis ir</w:t>
      </w:r>
      <w:r w:rsidR="00D81C43" w:rsidRPr="007D71D3">
        <w:t xml:space="preserve"> palyginti juos su </w:t>
      </w:r>
      <w:r w:rsidR="009E2007" w:rsidRPr="007D71D3">
        <w:t>201</w:t>
      </w:r>
      <w:r w:rsidR="009E2007">
        <w:t>8</w:t>
      </w:r>
      <w:r w:rsidR="009E2007" w:rsidRPr="007D71D3">
        <w:t xml:space="preserve"> m. ir </w:t>
      </w:r>
      <w:r w:rsidR="00D81C43" w:rsidRPr="007D71D3">
        <w:t>201</w:t>
      </w:r>
      <w:r w:rsidR="00BC27E3">
        <w:t>9</w:t>
      </w:r>
      <w:r w:rsidR="00D81C43" w:rsidRPr="007D71D3">
        <w:t xml:space="preserve"> m. duomenims</w:t>
      </w:r>
      <w:r w:rsidR="007D71D3" w:rsidRPr="007D71D3">
        <w:t xml:space="preserve"> bei atlikti 2020 m. populiariausių turizmo traukos objektų lankytojų statistikos analizę.</w:t>
      </w:r>
    </w:p>
    <w:p w:rsidR="00D81C43" w:rsidRPr="006B0540" w:rsidRDefault="00D81C43" w:rsidP="00D81C43">
      <w:pPr>
        <w:ind w:firstLine="1298"/>
        <w:jc w:val="both"/>
        <w:rPr>
          <w:color w:val="FF0000"/>
        </w:rPr>
      </w:pPr>
    </w:p>
    <w:p w:rsidR="00D81C43" w:rsidRPr="00201991" w:rsidRDefault="00201991" w:rsidP="007D71D3">
      <w:pPr>
        <w:jc w:val="both"/>
        <w:rPr>
          <w:b/>
        </w:rPr>
      </w:pPr>
      <w:r w:rsidRPr="00201991">
        <w:rPr>
          <w:b/>
        </w:rPr>
        <w:t>UŽDAVINIAI:</w:t>
      </w:r>
    </w:p>
    <w:p w:rsidR="007D71D3" w:rsidRPr="00201991" w:rsidRDefault="007D71D3" w:rsidP="0059233F">
      <w:pPr>
        <w:pStyle w:val="Sraopastraipa"/>
        <w:numPr>
          <w:ilvl w:val="0"/>
          <w:numId w:val="2"/>
        </w:numPr>
        <w:jc w:val="both"/>
      </w:pPr>
      <w:r w:rsidRPr="00201991">
        <w:t>Išanalizuoti</w:t>
      </w:r>
      <w:r w:rsidR="009E2007">
        <w:t>,</w:t>
      </w:r>
      <w:r w:rsidRPr="00201991">
        <w:t xml:space="preserve"> kaip 2020 m. keitėsi </w:t>
      </w:r>
      <w:r w:rsidR="00BC27E3">
        <w:t xml:space="preserve">Utenos TIC </w:t>
      </w:r>
      <w:r w:rsidR="0059233F">
        <w:t xml:space="preserve">bendras </w:t>
      </w:r>
      <w:r w:rsidR="00BC27E3">
        <w:t>bei</w:t>
      </w:r>
      <w:r w:rsidR="0059233F">
        <w:t xml:space="preserve"> </w:t>
      </w:r>
      <w:r w:rsidRPr="00201991">
        <w:t>lietuvi</w:t>
      </w:r>
      <w:r w:rsidR="0059233F">
        <w:t xml:space="preserve">ų ir užsieniečių </w:t>
      </w:r>
      <w:r w:rsidR="00BC27E3">
        <w:t xml:space="preserve">lankytojų </w:t>
      </w:r>
      <w:r w:rsidR="0059233F">
        <w:t>skaičius skirtingais</w:t>
      </w:r>
      <w:r w:rsidRPr="00201991">
        <w:t xml:space="preserve"> mėnesia</w:t>
      </w:r>
      <w:r w:rsidR="0059233F">
        <w:t xml:space="preserve">is lyginant </w:t>
      </w:r>
      <w:r w:rsidRPr="00201991">
        <w:t xml:space="preserve">su </w:t>
      </w:r>
      <w:r w:rsidR="009E2007" w:rsidRPr="00201991">
        <w:t>201</w:t>
      </w:r>
      <w:r w:rsidR="009E2007">
        <w:t>8</w:t>
      </w:r>
      <w:r w:rsidR="009E2007" w:rsidRPr="00201991">
        <w:t xml:space="preserve"> m. ir </w:t>
      </w:r>
      <w:r w:rsidRPr="00201991">
        <w:t>201</w:t>
      </w:r>
      <w:r w:rsidR="0059233F">
        <w:t>9</w:t>
      </w:r>
      <w:r w:rsidRPr="00201991">
        <w:t xml:space="preserve"> m. duomenimis;</w:t>
      </w:r>
    </w:p>
    <w:p w:rsidR="007D71D3" w:rsidRPr="00201991" w:rsidRDefault="007D71D3" w:rsidP="00201991">
      <w:pPr>
        <w:pStyle w:val="Sraopastraipa"/>
        <w:numPr>
          <w:ilvl w:val="0"/>
          <w:numId w:val="2"/>
        </w:numPr>
        <w:jc w:val="both"/>
      </w:pPr>
      <w:r w:rsidRPr="00201991">
        <w:t>Išanalizuoti, kokių šalių užsienio lankytojai 2020 m. lankėsi Utenos TIC;</w:t>
      </w:r>
    </w:p>
    <w:p w:rsidR="0059233F" w:rsidRDefault="0059233F" w:rsidP="0059233F">
      <w:pPr>
        <w:pStyle w:val="Sraopastraipa"/>
        <w:numPr>
          <w:ilvl w:val="0"/>
          <w:numId w:val="2"/>
        </w:numPr>
        <w:jc w:val="both"/>
      </w:pPr>
      <w:r w:rsidRPr="00201991">
        <w:t>Išanalizuoti</w:t>
      </w:r>
      <w:r w:rsidR="00DD23CA">
        <w:t>,</w:t>
      </w:r>
      <w:r w:rsidRPr="00201991">
        <w:t xml:space="preserve"> kaip 2020 m. keitėsi </w:t>
      </w:r>
      <w:r>
        <w:t>bendras bei prisijungimo seansų skaičius mėnesiais</w:t>
      </w:r>
      <w:r w:rsidRPr="00201991">
        <w:t xml:space="preserve"> </w:t>
      </w:r>
      <w:r>
        <w:t>prie Utenos TIC internetinės svetainės</w:t>
      </w:r>
      <w:r w:rsidRPr="0059233F">
        <w:t xml:space="preserve"> </w:t>
      </w:r>
      <w:r>
        <w:t xml:space="preserve">lyginant </w:t>
      </w:r>
      <w:r w:rsidRPr="00201991">
        <w:t xml:space="preserve">su </w:t>
      </w:r>
      <w:r w:rsidR="009E2007" w:rsidRPr="00201991">
        <w:t>201</w:t>
      </w:r>
      <w:r w:rsidR="009E2007">
        <w:t>8</w:t>
      </w:r>
      <w:r w:rsidR="009E2007" w:rsidRPr="00201991">
        <w:t xml:space="preserve"> m. ir </w:t>
      </w:r>
      <w:r w:rsidRPr="00201991">
        <w:t>201</w:t>
      </w:r>
      <w:r w:rsidR="00BC27E3">
        <w:t>9</w:t>
      </w:r>
      <w:r w:rsidRPr="00201991">
        <w:t xml:space="preserve"> m. duomenimis</w:t>
      </w:r>
      <w:r>
        <w:t xml:space="preserve">, </w:t>
      </w:r>
    </w:p>
    <w:p w:rsidR="0059233F" w:rsidRPr="00201991" w:rsidRDefault="0059233F" w:rsidP="0059233F">
      <w:pPr>
        <w:pStyle w:val="Sraopastraipa"/>
        <w:numPr>
          <w:ilvl w:val="0"/>
          <w:numId w:val="2"/>
        </w:numPr>
        <w:jc w:val="both"/>
      </w:pPr>
      <w:r w:rsidRPr="00201991">
        <w:t>Išanalizuoti, kokių šalių gyventojai</w:t>
      </w:r>
      <w:r>
        <w:t xml:space="preserve"> 2020 m.</w:t>
      </w:r>
      <w:r w:rsidRPr="00201991">
        <w:t xml:space="preserve"> jungėsi prie Utenos TIC svetainės bei kokie buvo prisijungimo tikslai;</w:t>
      </w:r>
    </w:p>
    <w:p w:rsidR="0059233F" w:rsidRDefault="0059233F" w:rsidP="0059233F">
      <w:pPr>
        <w:pStyle w:val="Sraopastraipa"/>
        <w:numPr>
          <w:ilvl w:val="0"/>
          <w:numId w:val="2"/>
        </w:numPr>
        <w:jc w:val="both"/>
      </w:pPr>
      <w:r w:rsidRPr="00201991">
        <w:t>Išanalizuoti</w:t>
      </w:r>
      <w:r w:rsidR="00DD23CA">
        <w:t>,</w:t>
      </w:r>
      <w:r w:rsidRPr="00201991">
        <w:t xml:space="preserve"> kokios lankytinos vietos 2020 m. sulaukė daugiausia turistų, kai</w:t>
      </w:r>
      <w:r>
        <w:t>p</w:t>
      </w:r>
      <w:r w:rsidRPr="00201991">
        <w:t xml:space="preserve"> jie pasiskirstė mėnesiais bei pagal</w:t>
      </w:r>
      <w:r>
        <w:t xml:space="preserve"> atvykimo</w:t>
      </w:r>
      <w:r w:rsidRPr="00201991">
        <w:t xml:space="preserve"> </w:t>
      </w:r>
      <w:r>
        <w:t>šalis</w:t>
      </w:r>
      <w:r w:rsidRPr="00201991">
        <w:t>.</w:t>
      </w:r>
    </w:p>
    <w:p w:rsidR="00201991" w:rsidRDefault="00201991" w:rsidP="00201991">
      <w:pPr>
        <w:jc w:val="both"/>
      </w:pPr>
    </w:p>
    <w:p w:rsidR="00201991" w:rsidRDefault="00201991" w:rsidP="00201991">
      <w:pPr>
        <w:jc w:val="both"/>
      </w:pPr>
      <w:r w:rsidRPr="00201991">
        <w:rPr>
          <w:b/>
        </w:rPr>
        <w:t>PASTABA:</w:t>
      </w:r>
      <w:r w:rsidRPr="00201991">
        <w:t xml:space="preserve"> </w:t>
      </w:r>
      <w:r>
        <w:t xml:space="preserve">2020 m. Utenos </w:t>
      </w:r>
      <w:r w:rsidR="002C58D3">
        <w:t>TIC</w:t>
      </w:r>
      <w:r>
        <w:t xml:space="preserve"> skyriuose</w:t>
      </w:r>
      <w:r w:rsidR="009A67F2">
        <w:t xml:space="preserve"> (Stoties g. </w:t>
      </w:r>
      <w:r w:rsidR="00DD23CA">
        <w:t>ir „</w:t>
      </w:r>
      <w:proofErr w:type="spellStart"/>
      <w:r w:rsidR="00DD23CA">
        <w:t>Taurapilio</w:t>
      </w:r>
      <w:proofErr w:type="spellEnd"/>
      <w:r w:rsidR="00DD23CA">
        <w:t>“)</w:t>
      </w:r>
      <w:r>
        <w:t xml:space="preserve"> bendrai apsilankė 6557 lankytojai. Iš jų „</w:t>
      </w:r>
      <w:proofErr w:type="spellStart"/>
      <w:r>
        <w:t>Taurapilio</w:t>
      </w:r>
      <w:proofErr w:type="spellEnd"/>
      <w:r>
        <w:t>“ skyriuje apsila</w:t>
      </w:r>
      <w:r w:rsidR="00DD23CA">
        <w:t>nkė 545 lankytojai. Šis</w:t>
      </w:r>
      <w:r>
        <w:t xml:space="preserve"> skyrius 2020 m. dirbo 2,5 mėnesio, t.y. kovo 16 d. įvedu</w:t>
      </w:r>
      <w:r w:rsidR="00DD23CA">
        <w:t>s karantino rėžimą Lietuvoje „</w:t>
      </w:r>
      <w:proofErr w:type="spellStart"/>
      <w:r w:rsidR="00DD23CA">
        <w:t>Taurapilio</w:t>
      </w:r>
      <w:proofErr w:type="spellEnd"/>
      <w:r w:rsidR="00DD23CA">
        <w:t>“</w:t>
      </w:r>
      <w:r>
        <w:t xml:space="preserve"> skyrius </w:t>
      </w:r>
      <w:r w:rsidR="009A67F2">
        <w:t>buvo uždarytas ir i</w:t>
      </w:r>
      <w:r>
        <w:t xml:space="preserve">ki metų pabaigos lankytojų neaptarnavo. </w:t>
      </w:r>
      <w:r w:rsidR="00DD23CA">
        <w:t>Dėl šios priežasties</w:t>
      </w:r>
      <w:r>
        <w:t xml:space="preserve"> duomenų lyginimui ataskaitoje bus naudojami tik Stoties g. skyriaus lankytoj</w:t>
      </w:r>
      <w:r w:rsidR="00BC27E3">
        <w:t>ų statistikos duomenys</w:t>
      </w:r>
      <w:r>
        <w:t xml:space="preserve"> 2018-2020 m. laikotarpiu. </w:t>
      </w:r>
    </w:p>
    <w:p w:rsidR="00201991" w:rsidRPr="00201991" w:rsidRDefault="00201991" w:rsidP="00201991">
      <w:pPr>
        <w:jc w:val="both"/>
      </w:pPr>
    </w:p>
    <w:p w:rsidR="00E529CA" w:rsidRPr="009E2007" w:rsidRDefault="00BC27E3" w:rsidP="00E529CA">
      <w:pPr>
        <w:jc w:val="center"/>
        <w:rPr>
          <w:b/>
          <w:sz w:val="26"/>
          <w:szCs w:val="26"/>
        </w:rPr>
      </w:pPr>
      <w:r w:rsidRPr="009E2007">
        <w:rPr>
          <w:b/>
          <w:sz w:val="26"/>
          <w:szCs w:val="26"/>
        </w:rPr>
        <w:t xml:space="preserve">UTENOS TIC LANKYTOJAI </w:t>
      </w:r>
    </w:p>
    <w:p w:rsidR="00E529CA" w:rsidRDefault="00E529CA" w:rsidP="00BE2C72">
      <w:pPr>
        <w:ind w:firstLine="1298"/>
        <w:jc w:val="both"/>
      </w:pPr>
    </w:p>
    <w:p w:rsidR="00BE2C72" w:rsidRDefault="00BE2C72" w:rsidP="00BE2C72">
      <w:pPr>
        <w:ind w:firstLine="1298"/>
        <w:jc w:val="both"/>
      </w:pPr>
      <w:r>
        <w:t>20</w:t>
      </w:r>
      <w:r w:rsidR="00F768EF">
        <w:t>20</w:t>
      </w:r>
      <w:r w:rsidR="00C94F36">
        <w:t xml:space="preserve"> m. </w:t>
      </w:r>
      <w:r>
        <w:t xml:space="preserve">Utenos </w:t>
      </w:r>
      <w:r w:rsidR="000775CD">
        <w:t>TIC</w:t>
      </w:r>
      <w:r w:rsidR="003264C0">
        <w:t xml:space="preserve"> Stoties g.</w:t>
      </w:r>
      <w:r w:rsidR="00F768EF">
        <w:t xml:space="preserve"> skyriuje apsilankė 6012 lankytojų</w:t>
      </w:r>
      <w:r w:rsidR="000814BA">
        <w:t xml:space="preserve"> (</w:t>
      </w:r>
      <w:r w:rsidR="006D3BC9">
        <w:t xml:space="preserve">žr. </w:t>
      </w:r>
      <w:r w:rsidR="000814BA">
        <w:t>1 pav.).</w:t>
      </w:r>
      <w:r w:rsidR="00F768EF">
        <w:t xml:space="preserve"> Lyginant su 2018 m. </w:t>
      </w:r>
      <w:r w:rsidR="00F43D43">
        <w:t>(Stoties g. skyriaus)</w:t>
      </w:r>
      <w:r w:rsidR="00F768EF">
        <w:t xml:space="preserve"> </w:t>
      </w:r>
      <w:r w:rsidR="00DD23CA">
        <w:t xml:space="preserve">lankytojų </w:t>
      </w:r>
      <w:r w:rsidR="00F768EF">
        <w:t xml:space="preserve">sumažėjo 21%, lyginant su 2019 m. </w:t>
      </w:r>
      <w:r w:rsidR="00F43D43">
        <w:t xml:space="preserve">(Stoties g. skyriaus) </w:t>
      </w:r>
      <w:r w:rsidR="00DD23CA">
        <w:t xml:space="preserve">lankytojų </w:t>
      </w:r>
      <w:r w:rsidR="00F768EF">
        <w:t xml:space="preserve">sumažėjo 15%. </w:t>
      </w:r>
    </w:p>
    <w:p w:rsidR="00DD23CA" w:rsidRDefault="00DD23CA" w:rsidP="00BE2C72">
      <w:pPr>
        <w:ind w:firstLine="1298"/>
        <w:jc w:val="both"/>
      </w:pPr>
    </w:p>
    <w:p w:rsidR="00F768EF" w:rsidRDefault="00C94F36" w:rsidP="00BE2C72">
      <w:pPr>
        <w:ind w:firstLine="1298"/>
        <w:jc w:val="both"/>
      </w:pPr>
      <w:r>
        <w:t xml:space="preserve">. </w:t>
      </w:r>
    </w:p>
    <w:p w:rsidR="006D3BC9" w:rsidRDefault="0063469B" w:rsidP="00F768EF">
      <w:pPr>
        <w:jc w:val="center"/>
      </w:pPr>
      <w:r>
        <w:rPr>
          <w:noProof/>
        </w:rPr>
        <w:drawing>
          <wp:inline distT="0" distB="0" distL="0" distR="0" wp14:anchorId="5FBBA296" wp14:editId="4989088B">
            <wp:extent cx="4632986" cy="2716243"/>
            <wp:effectExtent l="0" t="0" r="15240" b="27305"/>
            <wp:docPr id="9" name="Diagrama 9"/>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bookmarkStart w:id="0" w:name="_GoBack"/>
      <w:bookmarkEnd w:id="0"/>
    </w:p>
    <w:p w:rsidR="00F768EF" w:rsidRDefault="00F768EF" w:rsidP="00F768EF">
      <w:pPr>
        <w:jc w:val="center"/>
      </w:pPr>
      <w:r>
        <w:rPr>
          <w:b/>
        </w:rPr>
        <w:t>1</w:t>
      </w:r>
      <w:r w:rsidRPr="002A54B7">
        <w:rPr>
          <w:b/>
        </w:rPr>
        <w:t xml:space="preserve"> pav.</w:t>
      </w:r>
      <w:r w:rsidRPr="002A54B7">
        <w:t xml:space="preserve"> </w:t>
      </w:r>
      <w:r>
        <w:t>Stoties g. skyriaus lankytojai 201</w:t>
      </w:r>
      <w:r w:rsidR="00F70723">
        <w:t>8</w:t>
      </w:r>
      <w:r>
        <w:t>-20</w:t>
      </w:r>
      <w:r w:rsidR="00F70723">
        <w:t>20</w:t>
      </w:r>
      <w:r>
        <w:t xml:space="preserve"> m</w:t>
      </w:r>
    </w:p>
    <w:p w:rsidR="00247297" w:rsidRDefault="00247297" w:rsidP="00247297">
      <w:pPr>
        <w:rPr>
          <w:noProof/>
        </w:rPr>
      </w:pPr>
    </w:p>
    <w:p w:rsidR="009E2007" w:rsidRDefault="009E2007" w:rsidP="000814BA">
      <w:pPr>
        <w:jc w:val="center"/>
        <w:rPr>
          <w:b/>
        </w:rPr>
      </w:pPr>
    </w:p>
    <w:p w:rsidR="009E2007" w:rsidRDefault="0063469B" w:rsidP="000814BA">
      <w:pPr>
        <w:jc w:val="center"/>
        <w:rPr>
          <w:noProof/>
        </w:rPr>
      </w:pPr>
      <w:r>
        <w:rPr>
          <w:noProof/>
        </w:rPr>
        <w:drawing>
          <wp:inline distT="0" distB="0" distL="0" distR="0" wp14:anchorId="30262213" wp14:editId="2A9AE7DA">
            <wp:extent cx="6299835" cy="2954706"/>
            <wp:effectExtent l="0" t="0" r="24765" b="17145"/>
            <wp:docPr id="1" name="Diagrama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0814BA" w:rsidRDefault="00247297" w:rsidP="000814BA">
      <w:pPr>
        <w:jc w:val="center"/>
      </w:pPr>
      <w:r>
        <w:rPr>
          <w:b/>
        </w:rPr>
        <w:t>2</w:t>
      </w:r>
      <w:r w:rsidR="000814BA" w:rsidRPr="002A54B7">
        <w:rPr>
          <w:b/>
        </w:rPr>
        <w:t xml:space="preserve"> pav.</w:t>
      </w:r>
      <w:r w:rsidR="000814BA" w:rsidRPr="002A54B7">
        <w:t xml:space="preserve"> 201</w:t>
      </w:r>
      <w:r>
        <w:t>8-2020</w:t>
      </w:r>
      <w:r w:rsidR="000814BA" w:rsidRPr="002A54B7">
        <w:t xml:space="preserve"> m. </w:t>
      </w:r>
      <w:r>
        <w:t>Stoties g. skyriaus lietuviai</w:t>
      </w:r>
      <w:r w:rsidR="000814BA" w:rsidRPr="002A54B7">
        <w:t xml:space="preserve"> la</w:t>
      </w:r>
      <w:r>
        <w:t>nkytojai</w:t>
      </w:r>
    </w:p>
    <w:p w:rsidR="00247297" w:rsidRDefault="00247297" w:rsidP="000814BA">
      <w:pPr>
        <w:jc w:val="center"/>
      </w:pPr>
    </w:p>
    <w:p w:rsidR="00247297" w:rsidRDefault="00247297" w:rsidP="00BC27E3">
      <w:pPr>
        <w:ind w:firstLine="1296"/>
        <w:jc w:val="both"/>
      </w:pPr>
      <w:r>
        <w:t>2020 m. Stoties g. skyriuje apsilankė 5878 lietuviai lankytojai. Tai 10</w:t>
      </w:r>
      <w:r w:rsidR="00710708">
        <w:t>%</w:t>
      </w:r>
      <w:r>
        <w:t xml:space="preserve"> mažiau nei 2019 m. ir 16</w:t>
      </w:r>
      <w:r w:rsidR="00710708">
        <w:t>%</w:t>
      </w:r>
      <w:r>
        <w:t xml:space="preserve"> mažiau nei </w:t>
      </w:r>
      <w:r w:rsidR="00710708">
        <w:t>2018 m. Lankytojų skaičiaus sumažėjimą nulėmė nuo 2020 m. kovo 16 d. iki birželio 16 d. ir nuo lapkričio 7 d. iki metų pabaigos galiojęs karantino r</w:t>
      </w:r>
      <w:r w:rsidR="000775CD">
        <w:t>e</w:t>
      </w:r>
      <w:r w:rsidR="00710708">
        <w:t xml:space="preserve">žimas kada buvo ribojami lankytojų srautai arba lankytojai buvo aptarnaujami nuotoliniu būdu (visą balandį ir visą gruodžio mėnesį lankytojų skaičius buvo lygus 0, nes </w:t>
      </w:r>
      <w:r w:rsidR="00701963">
        <w:t xml:space="preserve">šiais mėnesiais pilnai </w:t>
      </w:r>
      <w:r w:rsidR="00710708">
        <w:t xml:space="preserve">buvo dirbama nuotoliniu būdu). </w:t>
      </w:r>
    </w:p>
    <w:p w:rsidR="00247297" w:rsidRDefault="00710708" w:rsidP="00C13717">
      <w:pPr>
        <w:jc w:val="both"/>
      </w:pPr>
      <w:r>
        <w:t xml:space="preserve">Svarbu pastebėti tai, kad 2020 m. liepos ir rugpjūčio mėnesiais lietuvių lankytojų Stoties g. skyriuje sulaukėme daugiau nei tais pačiais mėnesiais 2018 m. ir 2019 </w:t>
      </w:r>
      <w:r w:rsidR="00BC27E3">
        <w:t>m</w:t>
      </w:r>
      <w:r>
        <w:t xml:space="preserve">., </w:t>
      </w:r>
      <w:r w:rsidR="00500CEB">
        <w:t xml:space="preserve">t.y. 2020 m. liepą lietuvių lankytojų sulaukėme 25% daugiau nei 2018 m. ir 2019 m. liepos mėnesiais, o 2020 m. rugpjūtį apsilankė 11% daugiau nei 2018 m. rugpjūčio mėnesį bei 17% daugiau nei 2019 m. rugpjūtį. </w:t>
      </w:r>
      <w:r w:rsidR="00500CEB" w:rsidRPr="00500CEB">
        <w:t>G</w:t>
      </w:r>
      <w:r w:rsidRPr="00500CEB">
        <w:t>alime daryti išvadą, kad 2020 m. lietuviai intensyviau keliavo šalies viduje</w:t>
      </w:r>
      <w:r w:rsidR="003264C0">
        <w:t xml:space="preserve"> neaplenkdami ir Utenos rajono</w:t>
      </w:r>
      <w:r w:rsidR="00C13717" w:rsidRPr="00500CEB">
        <w:t xml:space="preserve"> (žr. 2 pav.). Šį teiginį patvirtina ir</w:t>
      </w:r>
      <w:r w:rsidR="00C13717">
        <w:t xml:space="preserve"> užsieniečių lankytojų skaičiaus ryškus sumažėjimas, t.y. 2020 m. užsieniečių lankytojų </w:t>
      </w:r>
      <w:r w:rsidR="00E758A3">
        <w:t>sumažėjo 76% lyginant su 2019 m. ir 77%</w:t>
      </w:r>
      <w:r w:rsidR="00BC27E3">
        <w:t xml:space="preserve"> </w:t>
      </w:r>
      <w:r w:rsidR="00C13717">
        <w:t xml:space="preserve">lyginant su 2018 m. 2020 m. Stoties g. skyriuje apsilankė </w:t>
      </w:r>
      <w:r w:rsidR="00E758A3">
        <w:t xml:space="preserve">134 lankytojai užsieniečiai, 84% </w:t>
      </w:r>
      <w:r w:rsidR="00C13717">
        <w:t>jų apsilankė liepos, rugpjūčio ir rugsėjo mėnesiais kartu sudėjus (žr. 3 pav.).</w:t>
      </w:r>
    </w:p>
    <w:p w:rsidR="00247297" w:rsidRDefault="00247297" w:rsidP="000814BA">
      <w:pPr>
        <w:jc w:val="center"/>
      </w:pPr>
    </w:p>
    <w:p w:rsidR="00247297" w:rsidRDefault="0063469B" w:rsidP="000814BA">
      <w:pPr>
        <w:jc w:val="center"/>
      </w:pPr>
      <w:r>
        <w:rPr>
          <w:noProof/>
        </w:rPr>
        <w:drawing>
          <wp:inline distT="0" distB="0" distL="0" distR="0" wp14:anchorId="1F96EC52" wp14:editId="1BDC3030">
            <wp:extent cx="6299835" cy="2871946"/>
            <wp:effectExtent l="0" t="0" r="24765" b="24130"/>
            <wp:docPr id="11" name="Diagrama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247297" w:rsidRDefault="00247297" w:rsidP="00247297">
      <w:pPr>
        <w:jc w:val="center"/>
      </w:pPr>
      <w:r>
        <w:rPr>
          <w:b/>
        </w:rPr>
        <w:t>3</w:t>
      </w:r>
      <w:r w:rsidRPr="002A54B7">
        <w:rPr>
          <w:b/>
        </w:rPr>
        <w:t xml:space="preserve"> pav.</w:t>
      </w:r>
      <w:r w:rsidRPr="002A54B7">
        <w:t xml:space="preserve"> 201</w:t>
      </w:r>
      <w:r>
        <w:t>8-2020</w:t>
      </w:r>
      <w:r w:rsidRPr="002A54B7">
        <w:t xml:space="preserve"> m. </w:t>
      </w:r>
      <w:r>
        <w:t>Stoties g. skyriaus užsienio šalių</w:t>
      </w:r>
      <w:r w:rsidRPr="002A54B7">
        <w:t xml:space="preserve"> la</w:t>
      </w:r>
      <w:r>
        <w:t>nkytojai</w:t>
      </w:r>
    </w:p>
    <w:p w:rsidR="00247297" w:rsidRDefault="00247297" w:rsidP="000814BA">
      <w:pPr>
        <w:jc w:val="center"/>
      </w:pPr>
    </w:p>
    <w:p w:rsidR="00247297" w:rsidRDefault="00C13717" w:rsidP="000814BA">
      <w:pPr>
        <w:jc w:val="center"/>
      </w:pPr>
      <w:r>
        <w:rPr>
          <w:noProof/>
        </w:rPr>
        <w:drawing>
          <wp:inline distT="0" distB="0" distL="0" distR="0" wp14:anchorId="5E2935BA" wp14:editId="6B23F0F1">
            <wp:extent cx="5372101" cy="3276601"/>
            <wp:effectExtent l="0" t="0" r="19050" b="19050"/>
            <wp:docPr id="15" name="Diagrama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C13717" w:rsidRPr="00925662" w:rsidRDefault="00C13717" w:rsidP="00C13717">
      <w:pPr>
        <w:jc w:val="center"/>
        <w:rPr>
          <w:b/>
        </w:rPr>
      </w:pPr>
      <w:r>
        <w:rPr>
          <w:b/>
        </w:rPr>
        <w:t>4</w:t>
      </w:r>
      <w:r w:rsidRPr="00925662">
        <w:rPr>
          <w:b/>
        </w:rPr>
        <w:t xml:space="preserve"> pav. </w:t>
      </w:r>
      <w:r>
        <w:t>2020 m. Stoties g. skyriaus</w:t>
      </w:r>
      <w:r w:rsidRPr="00925662">
        <w:t xml:space="preserve"> užsienio šalių lankytojų pasiskirstymas pagal šalis</w:t>
      </w:r>
    </w:p>
    <w:p w:rsidR="00247297" w:rsidRDefault="00247297" w:rsidP="000814BA">
      <w:pPr>
        <w:jc w:val="center"/>
      </w:pPr>
    </w:p>
    <w:p w:rsidR="001101CC" w:rsidRDefault="00E758A3" w:rsidP="003264C0">
      <w:pPr>
        <w:ind w:firstLine="1296"/>
        <w:jc w:val="both"/>
      </w:pPr>
      <w:r>
        <w:t>Užsieniečiai sudarė 2</w:t>
      </w:r>
      <w:r w:rsidR="0083142D">
        <w:t xml:space="preserve">% </w:t>
      </w:r>
      <w:r w:rsidR="009A67F2">
        <w:t>bendro</w:t>
      </w:r>
      <w:r w:rsidR="0083142D">
        <w:t xml:space="preserve"> Stoties g. </w:t>
      </w:r>
      <w:r>
        <w:t>skyriaus lankytojų</w:t>
      </w:r>
      <w:r w:rsidR="00701963">
        <w:t xml:space="preserve"> skaičiaus</w:t>
      </w:r>
      <w:r>
        <w:t xml:space="preserve"> 2020 m. Visi užsienio šalių lankytojai buvo iš Europos šalių, lankytojų iš kitų žemynų sulaukta nebuvo. </w:t>
      </w:r>
      <w:r w:rsidR="009236A0">
        <w:t>Didžiausią dalį</w:t>
      </w:r>
      <w:r w:rsidR="00BC27E3">
        <w:t xml:space="preserve"> </w:t>
      </w:r>
      <w:r w:rsidR="009236A0">
        <w:t>iš užsienio lankytojų sudarė Baltijos ir kaimyninių šalių gyventojai (</w:t>
      </w:r>
      <w:r w:rsidR="003A2E55">
        <w:t>latviai</w:t>
      </w:r>
      <w:r>
        <w:t xml:space="preserve"> – 62 lankytojai</w:t>
      </w:r>
      <w:r w:rsidR="003A2E55">
        <w:t>, estai</w:t>
      </w:r>
      <w:r>
        <w:t xml:space="preserve"> – 17 lankytojų</w:t>
      </w:r>
      <w:r w:rsidR="003A2E55">
        <w:t>, lenkai</w:t>
      </w:r>
      <w:r>
        <w:t xml:space="preserve"> – 12 lankytojų)</w:t>
      </w:r>
      <w:r w:rsidR="008B0A94">
        <w:t xml:space="preserve"> –</w:t>
      </w:r>
      <w:r>
        <w:t xml:space="preserve"> 68</w:t>
      </w:r>
      <w:r w:rsidR="003A2E55">
        <w:t xml:space="preserve">% viso </w:t>
      </w:r>
      <w:r w:rsidR="000775CD">
        <w:t xml:space="preserve">2020 m. </w:t>
      </w:r>
      <w:r w:rsidR="003A2E55">
        <w:t>užsienio lank</w:t>
      </w:r>
      <w:r>
        <w:t>ytojų skaičiaus</w:t>
      </w:r>
      <w:r w:rsidR="000775CD">
        <w:t>.</w:t>
      </w:r>
      <w:r w:rsidR="008B0A94">
        <w:t xml:space="preserve"> </w:t>
      </w:r>
      <w:r>
        <w:t>2020 m. Stoties g. skyriuje apsilankė 16 vokiečių, 10 danų, 5 norvegai, po 4 italus bei Didžiosios Britanijos gyventojus, bei po 2 prancūzus ir suomius</w:t>
      </w:r>
      <w:r w:rsidR="00B25479">
        <w:t xml:space="preserve"> (žr. 4 pav.)</w:t>
      </w:r>
      <w:r>
        <w:t xml:space="preserve">. </w:t>
      </w:r>
    </w:p>
    <w:p w:rsidR="00E758A3" w:rsidRDefault="00E758A3" w:rsidP="00E758A3">
      <w:pPr>
        <w:jc w:val="both"/>
      </w:pPr>
    </w:p>
    <w:p w:rsidR="009E2007" w:rsidRDefault="009E2007" w:rsidP="00E758A3">
      <w:pPr>
        <w:jc w:val="both"/>
      </w:pPr>
    </w:p>
    <w:p w:rsidR="009E2007" w:rsidRDefault="009E2007" w:rsidP="001101CC">
      <w:pPr>
        <w:jc w:val="center"/>
        <w:rPr>
          <w:b/>
          <w:sz w:val="26"/>
          <w:szCs w:val="26"/>
        </w:rPr>
      </w:pPr>
      <w:r w:rsidRPr="009E2007">
        <w:rPr>
          <w:b/>
          <w:sz w:val="26"/>
          <w:szCs w:val="26"/>
        </w:rPr>
        <w:t xml:space="preserve">PRISIJUNGIMO SEANSAI PRIE UTENOS TIC </w:t>
      </w:r>
    </w:p>
    <w:p w:rsidR="001101CC" w:rsidRPr="009E2007" w:rsidRDefault="009E2007" w:rsidP="001101CC">
      <w:pPr>
        <w:jc w:val="center"/>
        <w:rPr>
          <w:b/>
          <w:sz w:val="26"/>
          <w:szCs w:val="26"/>
        </w:rPr>
      </w:pPr>
      <w:r w:rsidRPr="009E2007">
        <w:rPr>
          <w:b/>
          <w:sz w:val="26"/>
          <w:szCs w:val="26"/>
        </w:rPr>
        <w:t xml:space="preserve">SVETAINĖS </w:t>
      </w:r>
      <w:hyperlink r:id="rId11" w:history="1">
        <w:r w:rsidRPr="009E2007">
          <w:rPr>
            <w:rStyle w:val="Hipersaitas"/>
            <w:b/>
            <w:color w:val="auto"/>
            <w:sz w:val="26"/>
            <w:szCs w:val="26"/>
            <w:u w:val="none"/>
          </w:rPr>
          <w:t>WWW.UTENAINFO.LT</w:t>
        </w:r>
      </w:hyperlink>
      <w:r w:rsidRPr="009E2007">
        <w:rPr>
          <w:b/>
          <w:sz w:val="26"/>
          <w:szCs w:val="26"/>
        </w:rPr>
        <w:t xml:space="preserve"> </w:t>
      </w:r>
    </w:p>
    <w:p w:rsidR="00925662" w:rsidRDefault="00925662" w:rsidP="000814BA">
      <w:pPr>
        <w:jc w:val="center"/>
      </w:pPr>
    </w:p>
    <w:p w:rsidR="00B25479" w:rsidRDefault="00707B63" w:rsidP="00707B63">
      <w:pPr>
        <w:ind w:firstLine="1296"/>
        <w:jc w:val="both"/>
        <w:rPr>
          <w:rFonts w:eastAsia="Calibri"/>
          <w:lang w:eastAsia="en-US"/>
        </w:rPr>
      </w:pPr>
      <w:r>
        <w:rPr>
          <w:rFonts w:eastAsia="Calibri"/>
          <w:lang w:eastAsia="en-US"/>
        </w:rPr>
        <w:t>Naudojant „</w:t>
      </w:r>
      <w:proofErr w:type="spellStart"/>
      <w:r>
        <w:rPr>
          <w:rFonts w:eastAsia="Calibri"/>
          <w:lang w:eastAsia="en-US"/>
        </w:rPr>
        <w:t>Google</w:t>
      </w:r>
      <w:proofErr w:type="spellEnd"/>
      <w:r>
        <w:rPr>
          <w:rFonts w:eastAsia="Calibri"/>
          <w:lang w:eastAsia="en-US"/>
        </w:rPr>
        <w:t xml:space="preserve"> </w:t>
      </w:r>
      <w:proofErr w:type="spellStart"/>
      <w:r>
        <w:rPr>
          <w:rFonts w:eastAsia="Calibri"/>
          <w:lang w:eastAsia="en-US"/>
        </w:rPr>
        <w:t>Analitics</w:t>
      </w:r>
      <w:proofErr w:type="spellEnd"/>
      <w:r>
        <w:rPr>
          <w:rFonts w:eastAsia="Calibri"/>
          <w:lang w:eastAsia="en-US"/>
        </w:rPr>
        <w:t xml:space="preserve">“ sistemą yra stebimi </w:t>
      </w:r>
      <w:r w:rsidR="00701963">
        <w:rPr>
          <w:rFonts w:eastAsia="Calibri"/>
          <w:lang w:eastAsia="en-US"/>
        </w:rPr>
        <w:t xml:space="preserve">prisijungimų </w:t>
      </w:r>
      <w:r>
        <w:rPr>
          <w:rFonts w:eastAsia="Calibri"/>
          <w:lang w:eastAsia="en-US"/>
        </w:rPr>
        <w:t xml:space="preserve">prie </w:t>
      </w:r>
      <w:r w:rsidRPr="00707B63">
        <w:rPr>
          <w:rFonts w:eastAsia="Calibri"/>
          <w:lang w:eastAsia="en-US"/>
        </w:rPr>
        <w:t xml:space="preserve">Utenos </w:t>
      </w:r>
      <w:r w:rsidR="0038315E">
        <w:rPr>
          <w:rFonts w:eastAsia="Calibri"/>
          <w:lang w:eastAsia="en-US"/>
        </w:rPr>
        <w:t>TIC</w:t>
      </w:r>
      <w:r w:rsidRPr="00707B63">
        <w:rPr>
          <w:rFonts w:eastAsia="Calibri"/>
          <w:lang w:eastAsia="en-US"/>
        </w:rPr>
        <w:t xml:space="preserve"> svetainės </w:t>
      </w:r>
      <w:hyperlink r:id="rId12" w:history="1">
        <w:r w:rsidRPr="00707B63">
          <w:rPr>
            <w:rFonts w:eastAsia="Calibri"/>
            <w:lang w:eastAsia="en-US"/>
          </w:rPr>
          <w:t>www.utenainfo.lt</w:t>
        </w:r>
      </w:hyperlink>
      <w:r w:rsidR="00A64DB7">
        <w:rPr>
          <w:rFonts w:eastAsia="Calibri"/>
          <w:lang w:eastAsia="en-US"/>
        </w:rPr>
        <w:t xml:space="preserve"> </w:t>
      </w:r>
      <w:r>
        <w:rPr>
          <w:rFonts w:eastAsia="Calibri"/>
          <w:lang w:eastAsia="en-US"/>
        </w:rPr>
        <w:t>skaičiaus rodikliai. Prisijungimų</w:t>
      </w:r>
      <w:r w:rsidR="00A64DB7">
        <w:rPr>
          <w:rFonts w:eastAsia="Calibri"/>
          <w:lang w:eastAsia="en-US"/>
        </w:rPr>
        <w:t xml:space="preserve"> seansų</w:t>
      </w:r>
      <w:r>
        <w:rPr>
          <w:rFonts w:eastAsia="Calibri"/>
          <w:lang w:eastAsia="en-US"/>
        </w:rPr>
        <w:t xml:space="preserve"> skaičius prie svetainės </w:t>
      </w:r>
      <w:r w:rsidR="008B0A94">
        <w:rPr>
          <w:rFonts w:eastAsia="Calibri"/>
          <w:lang w:eastAsia="en-US"/>
        </w:rPr>
        <w:t>2020 m.</w:t>
      </w:r>
      <w:r w:rsidR="0038315E">
        <w:rPr>
          <w:rFonts w:eastAsia="Calibri"/>
          <w:lang w:eastAsia="en-US"/>
        </w:rPr>
        <w:t xml:space="preserve"> – 80494.</w:t>
      </w:r>
      <w:r w:rsidR="008B0A94">
        <w:rPr>
          <w:rFonts w:eastAsia="Calibri"/>
          <w:lang w:eastAsia="en-US"/>
        </w:rPr>
        <w:t xml:space="preserve"> </w:t>
      </w:r>
      <w:r w:rsidR="0038315E">
        <w:t>Lyginant</w:t>
      </w:r>
      <w:r w:rsidR="0038315E">
        <w:rPr>
          <w:rFonts w:eastAsia="Calibri"/>
          <w:lang w:eastAsia="en-US"/>
        </w:rPr>
        <w:t xml:space="preserve"> su 2019 m. prisijungimų prie svetainės skaičiumi </w:t>
      </w:r>
      <w:r w:rsidR="008B0A94">
        <w:rPr>
          <w:rFonts w:eastAsia="Calibri"/>
          <w:lang w:eastAsia="en-US"/>
        </w:rPr>
        <w:t>sumažėjo 17</w:t>
      </w:r>
      <w:r w:rsidR="008B0A94">
        <w:t xml:space="preserve">% </w:t>
      </w:r>
      <w:r w:rsidR="00B25479">
        <w:rPr>
          <w:rFonts w:eastAsia="Calibri"/>
          <w:lang w:eastAsia="en-US"/>
        </w:rPr>
        <w:t xml:space="preserve">ir </w:t>
      </w:r>
      <w:r w:rsidR="0038315E">
        <w:rPr>
          <w:rFonts w:eastAsia="Calibri"/>
          <w:lang w:eastAsia="en-US"/>
        </w:rPr>
        <w:t xml:space="preserve">lyginant su 2018 m. duomenimis </w:t>
      </w:r>
      <w:r w:rsidR="008B0A94">
        <w:rPr>
          <w:rFonts w:eastAsia="Calibri"/>
          <w:lang w:eastAsia="en-US"/>
        </w:rPr>
        <w:t xml:space="preserve">sumažėjo </w:t>
      </w:r>
      <w:r w:rsidR="00B25479">
        <w:rPr>
          <w:rFonts w:eastAsia="Calibri"/>
          <w:lang w:eastAsia="en-US"/>
        </w:rPr>
        <w:t xml:space="preserve">14 </w:t>
      </w:r>
      <w:r w:rsidR="008B0A94">
        <w:t xml:space="preserve">% </w:t>
      </w:r>
      <w:r w:rsidR="00B25479">
        <w:t>(žr. 5 pav.)</w:t>
      </w:r>
      <w:r w:rsidR="008B0A94">
        <w:t>.</w:t>
      </w:r>
    </w:p>
    <w:p w:rsidR="00B25479" w:rsidRDefault="00B25479" w:rsidP="00707B63">
      <w:pPr>
        <w:ind w:firstLine="1296"/>
        <w:jc w:val="both"/>
      </w:pPr>
    </w:p>
    <w:p w:rsidR="00874378" w:rsidRDefault="00B25479" w:rsidP="00B25479">
      <w:pPr>
        <w:jc w:val="center"/>
      </w:pPr>
      <w:r>
        <w:rPr>
          <w:noProof/>
        </w:rPr>
        <w:drawing>
          <wp:inline distT="0" distB="0" distL="0" distR="0" wp14:anchorId="69436D7D" wp14:editId="6847A5B3">
            <wp:extent cx="3800475" cy="2181225"/>
            <wp:effectExtent l="0" t="0" r="9525" b="9525"/>
            <wp:docPr id="16" name="Diagrama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874378" w:rsidRDefault="00B25479" w:rsidP="00874378">
      <w:pPr>
        <w:jc w:val="center"/>
        <w:rPr>
          <w:rFonts w:eastAsia="Calibri"/>
          <w:lang w:eastAsia="en-US"/>
        </w:rPr>
      </w:pPr>
      <w:r>
        <w:rPr>
          <w:rFonts w:eastAsia="Calibri"/>
          <w:b/>
          <w:lang w:eastAsia="en-US"/>
        </w:rPr>
        <w:t>5</w:t>
      </w:r>
      <w:r w:rsidR="00874378" w:rsidRPr="002A54B7">
        <w:rPr>
          <w:rFonts w:eastAsia="Calibri"/>
          <w:b/>
          <w:lang w:eastAsia="en-US"/>
        </w:rPr>
        <w:t xml:space="preserve"> pav.</w:t>
      </w:r>
      <w:r w:rsidR="00874378" w:rsidRPr="002A54B7">
        <w:rPr>
          <w:rFonts w:eastAsia="Calibri"/>
          <w:lang w:eastAsia="en-US"/>
        </w:rPr>
        <w:t xml:space="preserve"> Prisijungimų prie Utenos TIC internetinės svetainės skaičius 20</w:t>
      </w:r>
      <w:r>
        <w:rPr>
          <w:rFonts w:eastAsia="Calibri"/>
          <w:lang w:eastAsia="en-US"/>
        </w:rPr>
        <w:t>18</w:t>
      </w:r>
      <w:r w:rsidR="00874378" w:rsidRPr="002A54B7">
        <w:rPr>
          <w:rFonts w:eastAsia="Calibri"/>
          <w:lang w:eastAsia="en-US"/>
        </w:rPr>
        <w:t>–20</w:t>
      </w:r>
      <w:r>
        <w:rPr>
          <w:rFonts w:eastAsia="Calibri"/>
          <w:lang w:eastAsia="en-US"/>
        </w:rPr>
        <w:t xml:space="preserve">20 </w:t>
      </w:r>
      <w:r w:rsidR="00874378" w:rsidRPr="002A54B7">
        <w:rPr>
          <w:rFonts w:eastAsia="Calibri"/>
          <w:lang w:eastAsia="en-US"/>
        </w:rPr>
        <w:t>m.</w:t>
      </w:r>
    </w:p>
    <w:p w:rsidR="00B25479" w:rsidRDefault="00B25479" w:rsidP="00874378">
      <w:pPr>
        <w:jc w:val="center"/>
        <w:rPr>
          <w:rFonts w:eastAsia="Calibri"/>
          <w:lang w:eastAsia="en-US"/>
        </w:rPr>
      </w:pPr>
    </w:p>
    <w:p w:rsidR="00B25479" w:rsidRDefault="00B25479" w:rsidP="00B25479">
      <w:pPr>
        <w:ind w:firstLine="1296"/>
        <w:jc w:val="both"/>
        <w:rPr>
          <w:rFonts w:eastAsia="Calibri"/>
          <w:lang w:eastAsia="en-US"/>
        </w:rPr>
      </w:pPr>
      <w:r>
        <w:rPr>
          <w:rFonts w:eastAsia="Calibri"/>
          <w:lang w:eastAsia="en-US"/>
        </w:rPr>
        <w:lastRenderedPageBreak/>
        <w:t>V</w:t>
      </w:r>
      <w:r w:rsidRPr="00707B63">
        <w:rPr>
          <w:rFonts w:eastAsia="Calibri"/>
          <w:lang w:eastAsia="en-US"/>
        </w:rPr>
        <w:t>idutinė prisijungimo seanso trukmė</w:t>
      </w:r>
      <w:r>
        <w:rPr>
          <w:rFonts w:eastAsia="Calibri"/>
          <w:lang w:eastAsia="en-US"/>
        </w:rPr>
        <w:t xml:space="preserve"> 2018 m. buvo 2,13 min., 2019 m. – 2,04 min., 2020 m. – 1,34 min. Galbūt sutrupėjusi prisijungimo seanso trukmė gali reikšti tai, kad spartėja interneto ryšys, asmenys naudojasi greičiau veikiančiomis priemonėmis (kompiuteriais, </w:t>
      </w:r>
      <w:proofErr w:type="spellStart"/>
      <w:r>
        <w:rPr>
          <w:rFonts w:eastAsia="Calibri"/>
          <w:lang w:eastAsia="en-US"/>
        </w:rPr>
        <w:t>plančetėmis</w:t>
      </w:r>
      <w:proofErr w:type="spellEnd"/>
      <w:r>
        <w:rPr>
          <w:rFonts w:eastAsia="Calibri"/>
          <w:lang w:eastAsia="en-US"/>
        </w:rPr>
        <w:t>, mobiliaisiais telefonais) ar dabartinėje Utenos TIC svetainėje informacija yra sudėliota aiškiau ir mažiau laiko užtrunka ją surasti.</w:t>
      </w:r>
    </w:p>
    <w:p w:rsidR="00B25479" w:rsidRDefault="00B25479" w:rsidP="00B25479">
      <w:pPr>
        <w:ind w:firstLine="1296"/>
        <w:jc w:val="both"/>
        <w:rPr>
          <w:rFonts w:eastAsia="Calibri"/>
          <w:lang w:eastAsia="en-US"/>
        </w:rPr>
      </w:pPr>
    </w:p>
    <w:p w:rsidR="00B25479" w:rsidRDefault="00701963" w:rsidP="00874378">
      <w:pPr>
        <w:jc w:val="center"/>
        <w:rPr>
          <w:rFonts w:eastAsia="Calibri"/>
          <w:lang w:eastAsia="en-US"/>
        </w:rPr>
      </w:pPr>
      <w:r>
        <w:rPr>
          <w:noProof/>
        </w:rPr>
        <w:drawing>
          <wp:inline distT="0" distB="0" distL="0" distR="0" wp14:anchorId="537CC0DE" wp14:editId="03FABF16">
            <wp:extent cx="6299835" cy="3050101"/>
            <wp:effectExtent l="0" t="0" r="24765" b="17145"/>
            <wp:docPr id="3" name="Diagrama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B25479" w:rsidRPr="002A54B7" w:rsidRDefault="00B25479" w:rsidP="00B25479">
      <w:pPr>
        <w:jc w:val="center"/>
      </w:pPr>
      <w:r>
        <w:rPr>
          <w:b/>
        </w:rPr>
        <w:t>6</w:t>
      </w:r>
      <w:r w:rsidRPr="002A54B7">
        <w:rPr>
          <w:b/>
        </w:rPr>
        <w:t xml:space="preserve"> pav.</w:t>
      </w:r>
      <w:r w:rsidRPr="002A54B7">
        <w:t xml:space="preserve"> </w:t>
      </w:r>
      <w:r>
        <w:t>2018-2020</w:t>
      </w:r>
      <w:r w:rsidRPr="002A54B7">
        <w:t xml:space="preserve"> m.</w:t>
      </w:r>
      <w:r>
        <w:t xml:space="preserve"> p</w:t>
      </w:r>
      <w:r w:rsidRPr="002A54B7">
        <w:t xml:space="preserve">risijungimų skaičiaus prie svetainės www.utenainfo.lt pasiskirstymas mėnesiais </w:t>
      </w:r>
    </w:p>
    <w:p w:rsidR="00B25479" w:rsidRDefault="00B25479" w:rsidP="00874378">
      <w:pPr>
        <w:jc w:val="center"/>
        <w:rPr>
          <w:rFonts w:eastAsia="Calibri"/>
          <w:lang w:eastAsia="en-US"/>
        </w:rPr>
      </w:pPr>
    </w:p>
    <w:p w:rsidR="00B25479" w:rsidRDefault="00B25479" w:rsidP="008B0A94">
      <w:pPr>
        <w:ind w:firstLine="1296"/>
        <w:jc w:val="both"/>
        <w:rPr>
          <w:rFonts w:eastAsia="Calibri"/>
          <w:lang w:eastAsia="en-US"/>
        </w:rPr>
      </w:pPr>
      <w:r>
        <w:rPr>
          <w:rFonts w:eastAsia="Calibri"/>
          <w:lang w:eastAsia="en-US"/>
        </w:rPr>
        <w:t>Analizuojant 6 pav. duomenis galima teigti, kad prisijungimo skaičių prie svetainės įtakojo karantino r</w:t>
      </w:r>
      <w:r w:rsidR="0038315E">
        <w:rPr>
          <w:rFonts w:eastAsia="Calibri"/>
          <w:lang w:eastAsia="en-US"/>
        </w:rPr>
        <w:t>e</w:t>
      </w:r>
      <w:r>
        <w:rPr>
          <w:rFonts w:eastAsia="Calibri"/>
          <w:lang w:eastAsia="en-US"/>
        </w:rPr>
        <w:t>žimas, t.y. 2020 m</w:t>
      </w:r>
      <w:r w:rsidR="0038315E">
        <w:rPr>
          <w:rFonts w:eastAsia="Calibri"/>
          <w:lang w:eastAsia="en-US"/>
        </w:rPr>
        <w:t>.</w:t>
      </w:r>
      <w:r>
        <w:rPr>
          <w:rFonts w:eastAsia="Calibri"/>
          <w:lang w:eastAsia="en-US"/>
        </w:rPr>
        <w:t xml:space="preserve"> sausį ir vasarį prisijungusiųjų skaičius</w:t>
      </w:r>
      <w:r w:rsidR="00E22D01">
        <w:rPr>
          <w:rFonts w:eastAsia="Calibri"/>
          <w:lang w:eastAsia="en-US"/>
        </w:rPr>
        <w:t xml:space="preserve"> buvo didesnis nei </w:t>
      </w:r>
      <w:r w:rsidR="008B0A94">
        <w:rPr>
          <w:rFonts w:eastAsia="Calibri"/>
          <w:lang w:eastAsia="en-US"/>
        </w:rPr>
        <w:t xml:space="preserve">šiais mėnesiais </w:t>
      </w:r>
      <w:r w:rsidR="009A67F2">
        <w:rPr>
          <w:rFonts w:eastAsia="Calibri"/>
          <w:lang w:eastAsia="en-US"/>
        </w:rPr>
        <w:t xml:space="preserve">2018 m. ir 2019 m., </w:t>
      </w:r>
      <w:r w:rsidR="009A67F2" w:rsidRPr="002B1C28">
        <w:rPr>
          <w:rFonts w:eastAsia="Calibri"/>
          <w:lang w:eastAsia="en-US"/>
        </w:rPr>
        <w:t xml:space="preserve">o </w:t>
      </w:r>
      <w:r w:rsidR="00E22D01" w:rsidRPr="002B1C28">
        <w:rPr>
          <w:rFonts w:eastAsia="Calibri"/>
          <w:lang w:eastAsia="en-US"/>
        </w:rPr>
        <w:t xml:space="preserve">nuo </w:t>
      </w:r>
      <w:r w:rsidR="008B0A94" w:rsidRPr="002B1C28">
        <w:rPr>
          <w:rFonts w:eastAsia="Calibri"/>
          <w:lang w:eastAsia="en-US"/>
        </w:rPr>
        <w:t xml:space="preserve">2020 m. </w:t>
      </w:r>
      <w:r w:rsidR="00E22D01" w:rsidRPr="002B1C28">
        <w:rPr>
          <w:rFonts w:eastAsia="Calibri"/>
          <w:lang w:eastAsia="en-US"/>
        </w:rPr>
        <w:t>kovo mėnesio prisijungusiųjų skaičius</w:t>
      </w:r>
      <w:r w:rsidRPr="002B1C28">
        <w:rPr>
          <w:rFonts w:eastAsia="Calibri"/>
          <w:lang w:eastAsia="en-US"/>
        </w:rPr>
        <w:t xml:space="preserve"> </w:t>
      </w:r>
      <w:r w:rsidR="008B0A94" w:rsidRPr="002B1C28">
        <w:rPr>
          <w:rFonts w:eastAsia="Calibri"/>
          <w:lang w:eastAsia="en-US"/>
        </w:rPr>
        <w:t>mažėjo</w:t>
      </w:r>
      <w:r w:rsidR="00E22D01" w:rsidRPr="002B1C28">
        <w:rPr>
          <w:rFonts w:eastAsia="Calibri"/>
          <w:lang w:eastAsia="en-US"/>
        </w:rPr>
        <w:t xml:space="preserve"> </w:t>
      </w:r>
      <w:r w:rsidR="008B0A94" w:rsidRPr="002B1C28">
        <w:rPr>
          <w:rFonts w:eastAsia="Calibri"/>
          <w:lang w:eastAsia="en-US"/>
        </w:rPr>
        <w:t xml:space="preserve">daugiau nei </w:t>
      </w:r>
      <w:r w:rsidR="00E22D01" w:rsidRPr="002B1C28">
        <w:rPr>
          <w:rFonts w:eastAsia="Calibri"/>
          <w:lang w:eastAsia="en-US"/>
        </w:rPr>
        <w:t xml:space="preserve">dvigubai lyginant su </w:t>
      </w:r>
      <w:r w:rsidR="008B0A94" w:rsidRPr="002B1C28">
        <w:rPr>
          <w:rFonts w:eastAsia="Calibri"/>
          <w:lang w:eastAsia="en-US"/>
        </w:rPr>
        <w:t>2020 m. sausio</w:t>
      </w:r>
      <w:r w:rsidR="00E22D01" w:rsidRPr="002B1C28">
        <w:rPr>
          <w:rFonts w:eastAsia="Calibri"/>
          <w:lang w:eastAsia="en-US"/>
        </w:rPr>
        <w:t xml:space="preserve"> ir va</w:t>
      </w:r>
      <w:r w:rsidR="008B0A94" w:rsidRPr="002B1C28">
        <w:rPr>
          <w:rFonts w:eastAsia="Calibri"/>
          <w:lang w:eastAsia="en-US"/>
        </w:rPr>
        <w:t>sario mėnesiais</w:t>
      </w:r>
      <w:r w:rsidR="00E22D01">
        <w:rPr>
          <w:rFonts w:eastAsia="Calibri"/>
          <w:lang w:eastAsia="en-US"/>
        </w:rPr>
        <w:t>. Balandį, lapkritį</w:t>
      </w:r>
      <w:r w:rsidR="0038315E">
        <w:rPr>
          <w:rFonts w:eastAsia="Calibri"/>
          <w:lang w:eastAsia="en-US"/>
        </w:rPr>
        <w:t xml:space="preserve"> ir</w:t>
      </w:r>
      <w:r w:rsidR="00E22D01">
        <w:rPr>
          <w:rFonts w:eastAsia="Calibri"/>
          <w:lang w:eastAsia="en-US"/>
        </w:rPr>
        <w:t xml:space="preserve"> gruodį pr</w:t>
      </w:r>
      <w:r w:rsidR="008B0A94">
        <w:rPr>
          <w:rFonts w:eastAsia="Calibri"/>
          <w:lang w:eastAsia="en-US"/>
        </w:rPr>
        <w:t>isijungusiųjų skaičius neviršijo</w:t>
      </w:r>
      <w:r w:rsidR="00E22D01">
        <w:rPr>
          <w:rFonts w:eastAsia="Calibri"/>
          <w:lang w:eastAsia="en-US"/>
        </w:rPr>
        <w:t xml:space="preserve"> 3000, kai tuo tarpu 2018 m. bei 2019 m. prisijungimų </w:t>
      </w:r>
      <w:r w:rsidR="008B0A94">
        <w:rPr>
          <w:rFonts w:eastAsia="Calibri"/>
          <w:lang w:eastAsia="en-US"/>
        </w:rPr>
        <w:t>skaičius šiais mėnesiais buvo didesnis nei</w:t>
      </w:r>
      <w:r w:rsidR="009A67F2">
        <w:rPr>
          <w:rFonts w:eastAsia="Calibri"/>
          <w:lang w:eastAsia="en-US"/>
        </w:rPr>
        <w:t xml:space="preserve"> po</w:t>
      </w:r>
      <w:r w:rsidR="008B0A94">
        <w:rPr>
          <w:rFonts w:eastAsia="Calibri"/>
          <w:lang w:eastAsia="en-US"/>
        </w:rPr>
        <w:t xml:space="preserve"> 6000</w:t>
      </w:r>
      <w:r w:rsidR="00E22D01">
        <w:rPr>
          <w:rFonts w:eastAsia="Calibri"/>
          <w:lang w:eastAsia="en-US"/>
        </w:rPr>
        <w:t>. Lygiai taip pat kai</w:t>
      </w:r>
      <w:r w:rsidR="009A67F2">
        <w:rPr>
          <w:rFonts w:eastAsia="Calibri"/>
          <w:lang w:eastAsia="en-US"/>
        </w:rPr>
        <w:t>p</w:t>
      </w:r>
      <w:r w:rsidR="008B0A94">
        <w:rPr>
          <w:rFonts w:eastAsia="Calibri"/>
          <w:lang w:eastAsia="en-US"/>
        </w:rPr>
        <w:t xml:space="preserve"> Utenos TIC</w:t>
      </w:r>
      <w:r w:rsidR="00E22D01">
        <w:rPr>
          <w:rFonts w:eastAsia="Calibri"/>
          <w:lang w:eastAsia="en-US"/>
        </w:rPr>
        <w:t xml:space="preserve"> lankytojų</w:t>
      </w:r>
      <w:r w:rsidR="008B0A94">
        <w:rPr>
          <w:rFonts w:eastAsia="Calibri"/>
          <w:lang w:eastAsia="en-US"/>
        </w:rPr>
        <w:t xml:space="preserve"> skaičius 2020 m.,</w:t>
      </w:r>
      <w:r w:rsidR="00E22D01">
        <w:rPr>
          <w:rFonts w:eastAsia="Calibri"/>
          <w:lang w:eastAsia="en-US"/>
        </w:rPr>
        <w:t xml:space="preserve"> prisi</w:t>
      </w:r>
      <w:r w:rsidR="008B0A94">
        <w:rPr>
          <w:rFonts w:eastAsia="Calibri"/>
          <w:lang w:eastAsia="en-US"/>
        </w:rPr>
        <w:t>jungimų skaičius didžiausias buvo</w:t>
      </w:r>
      <w:r w:rsidR="00E22D01">
        <w:rPr>
          <w:rFonts w:eastAsia="Calibri"/>
          <w:lang w:eastAsia="en-US"/>
        </w:rPr>
        <w:t xml:space="preserve"> liepos ir rugpjū</w:t>
      </w:r>
      <w:r w:rsidR="008B0A94">
        <w:rPr>
          <w:rFonts w:eastAsia="Calibri"/>
          <w:lang w:eastAsia="en-US"/>
        </w:rPr>
        <w:t>čio mėnesiais ir viršijo</w:t>
      </w:r>
      <w:r w:rsidR="00E22D01">
        <w:rPr>
          <w:rFonts w:eastAsia="Calibri"/>
          <w:lang w:eastAsia="en-US"/>
        </w:rPr>
        <w:t xml:space="preserve"> prisijungimų skaičius šiais mėnesiais lyginant su 2018 m</w:t>
      </w:r>
      <w:r w:rsidR="009A67F2">
        <w:rPr>
          <w:rFonts w:eastAsia="Calibri"/>
          <w:lang w:eastAsia="en-US"/>
        </w:rPr>
        <w:t xml:space="preserve">. </w:t>
      </w:r>
      <w:r w:rsidR="00E22D01">
        <w:rPr>
          <w:rFonts w:eastAsia="Calibri"/>
          <w:lang w:eastAsia="en-US"/>
        </w:rPr>
        <w:t>bei 2019 m.</w:t>
      </w:r>
    </w:p>
    <w:p w:rsidR="00707B63" w:rsidRDefault="00A96B7A" w:rsidP="008B0A94">
      <w:pPr>
        <w:ind w:firstLine="1296"/>
        <w:jc w:val="both"/>
      </w:pPr>
      <w:r>
        <w:t>20</w:t>
      </w:r>
      <w:r w:rsidR="00E22D01">
        <w:t>20</w:t>
      </w:r>
      <w:r>
        <w:t xml:space="preserve"> m. prie Utenos TIC svetainės prisijungė </w:t>
      </w:r>
      <w:r w:rsidR="00E22D01">
        <w:t>8</w:t>
      </w:r>
      <w:r>
        <w:t xml:space="preserve">6 valstybių gyventojai. Didžiausią dalį sudarė lietuviai, kurie prie svetainės prisijungė </w:t>
      </w:r>
      <w:r w:rsidR="00E22D01" w:rsidRPr="00E22D01">
        <w:t>75285</w:t>
      </w:r>
      <w:r>
        <w:t xml:space="preserve"> kartus, užsieniečiai prie svetainės prisijungė </w:t>
      </w:r>
      <w:r w:rsidR="00E22D01" w:rsidRPr="00E22D01">
        <w:t>5209</w:t>
      </w:r>
      <w:r>
        <w:t xml:space="preserve"> kart</w:t>
      </w:r>
      <w:r w:rsidR="00E22D01">
        <w:t>us</w:t>
      </w:r>
      <w:r>
        <w:t xml:space="preserve"> (žr. </w:t>
      </w:r>
      <w:r w:rsidR="00E22D01">
        <w:t xml:space="preserve">7 </w:t>
      </w:r>
      <w:r>
        <w:t>pav.).</w:t>
      </w:r>
    </w:p>
    <w:p w:rsidR="00FA65C3" w:rsidRDefault="00FA65C3" w:rsidP="008B0A94">
      <w:pPr>
        <w:ind w:firstLine="1296"/>
        <w:jc w:val="both"/>
      </w:pPr>
    </w:p>
    <w:p w:rsidR="00A96B7A" w:rsidRDefault="00E22D01" w:rsidP="00E22D01">
      <w:pPr>
        <w:jc w:val="center"/>
      </w:pPr>
      <w:r>
        <w:rPr>
          <w:noProof/>
        </w:rPr>
        <w:drawing>
          <wp:inline distT="0" distB="0" distL="0" distR="0" wp14:anchorId="72469C5C" wp14:editId="2CDC46AA">
            <wp:extent cx="4167554" cy="2373923"/>
            <wp:effectExtent l="0" t="0" r="23495" b="26670"/>
            <wp:docPr id="18" name="Diagrama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A96B7A" w:rsidRPr="00A96B7A" w:rsidRDefault="00E22D01" w:rsidP="00A96B7A">
      <w:pPr>
        <w:jc w:val="center"/>
      </w:pPr>
      <w:r>
        <w:rPr>
          <w:b/>
        </w:rPr>
        <w:t>7</w:t>
      </w:r>
      <w:r w:rsidR="00A96B7A" w:rsidRPr="00FB5402">
        <w:rPr>
          <w:b/>
        </w:rPr>
        <w:t xml:space="preserve"> pav.</w:t>
      </w:r>
      <w:r w:rsidR="00A96B7A" w:rsidRPr="00FB5402">
        <w:t xml:space="preserve"> 20</w:t>
      </w:r>
      <w:r>
        <w:t>20</w:t>
      </w:r>
      <w:r w:rsidR="00A96B7A" w:rsidRPr="00FB5402">
        <w:t xml:space="preserve"> m. prisijungusių prie Utenos TIC svetainės pasiskirstymas </w:t>
      </w:r>
      <w:r w:rsidR="0056137A">
        <w:t>(</w:t>
      </w:r>
      <w:r w:rsidR="00FB5402" w:rsidRPr="00FB5402">
        <w:t xml:space="preserve">Lietuva ir </w:t>
      </w:r>
      <w:r w:rsidR="009A67F2">
        <w:t>u</w:t>
      </w:r>
      <w:r w:rsidR="00FB5402" w:rsidRPr="00FB5402">
        <w:t>žsienio šalys</w:t>
      </w:r>
      <w:r w:rsidR="0056137A">
        <w:t>)</w:t>
      </w:r>
    </w:p>
    <w:p w:rsidR="00FB5402" w:rsidRDefault="00FB5402" w:rsidP="00FB5402">
      <w:pPr>
        <w:jc w:val="both"/>
      </w:pPr>
      <w:r w:rsidRPr="0038315E">
        <w:lastRenderedPageBreak/>
        <w:t xml:space="preserve">Daugiausia iš </w:t>
      </w:r>
      <w:r w:rsidR="007449C9" w:rsidRPr="0038315E">
        <w:t>užsieniečių</w:t>
      </w:r>
      <w:r w:rsidRPr="0038315E">
        <w:t xml:space="preserve"> prisijungusių prie Utenos TIC svetainės 20</w:t>
      </w:r>
      <w:r w:rsidR="0038315E" w:rsidRPr="0038315E">
        <w:t>20</w:t>
      </w:r>
      <w:r w:rsidRPr="0038315E">
        <w:t xml:space="preserve"> m. </w:t>
      </w:r>
      <w:r>
        <w:t xml:space="preserve">buvo Europos žemyno šalių gyventojai – viso </w:t>
      </w:r>
      <w:r w:rsidR="00E22D01" w:rsidRPr="00E22D01">
        <w:t>3064</w:t>
      </w:r>
      <w:r>
        <w:t xml:space="preserve"> prisijungimų, Šiaurės Amerikos žemyno šalių gyventojai prisijungė </w:t>
      </w:r>
      <w:r w:rsidR="00E22D01" w:rsidRPr="00E22D01">
        <w:t>1615</w:t>
      </w:r>
      <w:r>
        <w:t xml:space="preserve"> kart</w:t>
      </w:r>
      <w:r w:rsidR="00E22D01">
        <w:t>ų</w:t>
      </w:r>
      <w:r>
        <w:t xml:space="preserve">, Azijos žemyno gyventojai </w:t>
      </w:r>
      <w:r w:rsidR="00312FFB" w:rsidRPr="00312FFB">
        <w:t>413</w:t>
      </w:r>
      <w:r>
        <w:t xml:space="preserve"> kart</w:t>
      </w:r>
      <w:r w:rsidR="00312FFB">
        <w:t>ų</w:t>
      </w:r>
      <w:r>
        <w:t xml:space="preserve">. Kitų žemynų gyventojų prisijungimai neviršijo 50 prisijungimų skaičiaus: Afrika – </w:t>
      </w:r>
      <w:r w:rsidR="00312FFB">
        <w:t>33</w:t>
      </w:r>
      <w:r>
        <w:t xml:space="preserve"> kartai, </w:t>
      </w:r>
      <w:r w:rsidR="00312FFB">
        <w:t xml:space="preserve">Pietų Amerika – 15 kartų, </w:t>
      </w:r>
      <w:r>
        <w:t>Australija – 1</w:t>
      </w:r>
      <w:r w:rsidR="00312FFB">
        <w:t>0</w:t>
      </w:r>
      <w:r w:rsidR="009A67F2">
        <w:t xml:space="preserve"> kartų</w:t>
      </w:r>
      <w:r>
        <w:t xml:space="preserve"> (žr. </w:t>
      </w:r>
      <w:r w:rsidR="00312FFB">
        <w:t>8</w:t>
      </w:r>
      <w:r>
        <w:t xml:space="preserve"> pav.). </w:t>
      </w:r>
    </w:p>
    <w:p w:rsidR="00AD7793" w:rsidRDefault="00AD7793" w:rsidP="00FB5402">
      <w:pPr>
        <w:jc w:val="both"/>
      </w:pPr>
    </w:p>
    <w:p w:rsidR="00AD7793" w:rsidRDefault="00E22D01" w:rsidP="00AD7793">
      <w:pPr>
        <w:jc w:val="center"/>
        <w:rPr>
          <w:noProof/>
        </w:rPr>
      </w:pPr>
      <w:r>
        <w:rPr>
          <w:noProof/>
        </w:rPr>
        <w:drawing>
          <wp:inline distT="0" distB="0" distL="0" distR="0" wp14:anchorId="50C082FD" wp14:editId="0AAF604C">
            <wp:extent cx="4714875" cy="2552700"/>
            <wp:effectExtent l="0" t="0" r="9525" b="19050"/>
            <wp:docPr id="20" name="Diagrama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707B63" w:rsidRDefault="00E22D01" w:rsidP="00FB5402">
      <w:pPr>
        <w:jc w:val="center"/>
      </w:pPr>
      <w:r>
        <w:rPr>
          <w:b/>
        </w:rPr>
        <w:t>8</w:t>
      </w:r>
      <w:r w:rsidR="00FB5402" w:rsidRPr="00FB5402">
        <w:rPr>
          <w:b/>
        </w:rPr>
        <w:t xml:space="preserve"> pav.</w:t>
      </w:r>
      <w:r w:rsidR="00FB5402" w:rsidRPr="00FB5402">
        <w:t xml:space="preserve"> 20</w:t>
      </w:r>
      <w:r w:rsidR="00430F5D">
        <w:t>20</w:t>
      </w:r>
      <w:r w:rsidR="00FB5402" w:rsidRPr="00FB5402">
        <w:t xml:space="preserve"> m. prisijungusių prie Utenos TIC svetainės pasiskirstymas pagal žemynus</w:t>
      </w:r>
    </w:p>
    <w:p w:rsidR="00272469" w:rsidRDefault="00272469" w:rsidP="00022E9D"/>
    <w:p w:rsidR="00272469" w:rsidRDefault="00FB5402" w:rsidP="005A1311">
      <w:pPr>
        <w:jc w:val="both"/>
      </w:pPr>
      <w:r>
        <w:t xml:space="preserve">Dažniausiai prisijungusių prie Utenos TIC svetainės </w:t>
      </w:r>
      <w:r w:rsidR="005A1311">
        <w:t>šalių gyventojų skaičius pateikiamas 1 lentelėje (lentelėje surašytos visos šalys, kurių gyventojų prisijungimų prie svetainės skaičius vi</w:t>
      </w:r>
      <w:r w:rsidR="007449C9">
        <w:t xml:space="preserve">ršijo </w:t>
      </w:r>
      <w:r w:rsidR="005A1311">
        <w:t>50 kartų per 20</w:t>
      </w:r>
      <w:r w:rsidR="00312FFB">
        <w:t>20</w:t>
      </w:r>
      <w:r w:rsidR="005A1311">
        <w:t xml:space="preserve"> m.).</w:t>
      </w:r>
    </w:p>
    <w:p w:rsidR="00272469" w:rsidRDefault="00272469" w:rsidP="00022E9D"/>
    <w:p w:rsidR="00AF2FF5" w:rsidRPr="00B77D2A" w:rsidRDefault="00AF2FF5" w:rsidP="00AF2FF5">
      <w:pPr>
        <w:jc w:val="center"/>
      </w:pPr>
      <w:r w:rsidRPr="00B77D2A">
        <w:rPr>
          <w:b/>
        </w:rPr>
        <w:t>1 lentelė.</w:t>
      </w:r>
      <w:r w:rsidRPr="00B77D2A">
        <w:t xml:space="preserve"> </w:t>
      </w:r>
      <w:r w:rsidR="0056137A">
        <w:t>20</w:t>
      </w:r>
      <w:r w:rsidR="005C7E0D">
        <w:t>20</w:t>
      </w:r>
      <w:r w:rsidR="0056137A" w:rsidRPr="00B77D2A">
        <w:t xml:space="preserve"> m</w:t>
      </w:r>
      <w:r w:rsidR="0056137A">
        <w:t xml:space="preserve"> d</w:t>
      </w:r>
      <w:r w:rsidR="005A1311">
        <w:t>ažniausiai prie svetainės</w:t>
      </w:r>
      <w:r w:rsidR="0056137A">
        <w:t xml:space="preserve"> Utenos TIC</w:t>
      </w:r>
      <w:r w:rsidR="005A1311">
        <w:t xml:space="preserve"> prisijungiantys užsienio šalių gyventojai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1134"/>
        <w:gridCol w:w="2553"/>
        <w:gridCol w:w="1134"/>
      </w:tblGrid>
      <w:tr w:rsidR="00AF2FF5" w:rsidRPr="00B77D2A" w:rsidTr="00BC27E3">
        <w:trPr>
          <w:jc w:val="center"/>
        </w:trPr>
        <w:tc>
          <w:tcPr>
            <w:tcW w:w="2518"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AF2FF5" w:rsidRPr="00B77D2A" w:rsidRDefault="00AF2FF5" w:rsidP="00272469">
            <w:pPr>
              <w:rPr>
                <w:b/>
              </w:rPr>
            </w:pPr>
            <w:r>
              <w:rPr>
                <w:b/>
              </w:rPr>
              <w:t>Šalis</w:t>
            </w:r>
          </w:p>
        </w:tc>
        <w:tc>
          <w:tcPr>
            <w:tcW w:w="1134"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AF2FF5" w:rsidRPr="00B77D2A" w:rsidRDefault="00AF2FF5" w:rsidP="00272469">
            <w:pPr>
              <w:rPr>
                <w:b/>
              </w:rPr>
            </w:pPr>
            <w:r w:rsidRPr="00B77D2A">
              <w:rPr>
                <w:b/>
              </w:rPr>
              <w:t>Seansų skaičius</w:t>
            </w:r>
          </w:p>
        </w:tc>
        <w:tc>
          <w:tcPr>
            <w:tcW w:w="2553"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AF2FF5" w:rsidRPr="00B77D2A" w:rsidRDefault="00AF2FF5" w:rsidP="00272469">
            <w:pPr>
              <w:rPr>
                <w:b/>
              </w:rPr>
            </w:pPr>
            <w:r>
              <w:rPr>
                <w:b/>
              </w:rPr>
              <w:t>Šalis</w:t>
            </w:r>
          </w:p>
        </w:tc>
        <w:tc>
          <w:tcPr>
            <w:tcW w:w="1134"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AF2FF5" w:rsidRPr="00B77D2A" w:rsidRDefault="00AF2FF5" w:rsidP="00272469">
            <w:pPr>
              <w:rPr>
                <w:b/>
              </w:rPr>
            </w:pPr>
            <w:r w:rsidRPr="00B77D2A">
              <w:rPr>
                <w:b/>
              </w:rPr>
              <w:t>Seansų skaičius</w:t>
            </w:r>
          </w:p>
        </w:tc>
      </w:tr>
      <w:tr w:rsidR="00AF2FF5" w:rsidRPr="00B77D2A" w:rsidTr="00FB5402">
        <w:trPr>
          <w:jc w:val="center"/>
        </w:trPr>
        <w:tc>
          <w:tcPr>
            <w:tcW w:w="2518" w:type="dxa"/>
            <w:tcBorders>
              <w:top w:val="single" w:sz="12" w:space="0" w:color="auto"/>
              <w:left w:val="single" w:sz="12" w:space="0" w:color="auto"/>
              <w:bottom w:val="single" w:sz="2" w:space="0" w:color="auto"/>
              <w:right w:val="single" w:sz="2" w:space="0" w:color="auto"/>
            </w:tcBorders>
            <w:shd w:val="clear" w:color="auto" w:fill="auto"/>
            <w:vAlign w:val="center"/>
          </w:tcPr>
          <w:p w:rsidR="00AF2FF5" w:rsidRPr="00B77D2A" w:rsidRDefault="00AF2FF5" w:rsidP="005C7E0D">
            <w:r w:rsidRPr="00B77D2A">
              <w:rPr>
                <w:b/>
              </w:rPr>
              <w:t>1.</w:t>
            </w:r>
            <w:r w:rsidRPr="00B77D2A">
              <w:t xml:space="preserve"> </w:t>
            </w:r>
            <w:r w:rsidR="005C7E0D">
              <w:t xml:space="preserve">JAV </w:t>
            </w:r>
          </w:p>
        </w:tc>
        <w:tc>
          <w:tcPr>
            <w:tcW w:w="1134" w:type="dxa"/>
            <w:tcBorders>
              <w:top w:val="single" w:sz="12" w:space="0" w:color="auto"/>
              <w:left w:val="single" w:sz="2" w:space="0" w:color="auto"/>
              <w:bottom w:val="single" w:sz="2" w:space="0" w:color="auto"/>
              <w:right w:val="single" w:sz="2" w:space="0" w:color="auto"/>
            </w:tcBorders>
            <w:shd w:val="clear" w:color="auto" w:fill="auto"/>
            <w:vAlign w:val="center"/>
          </w:tcPr>
          <w:p w:rsidR="00AF2FF5" w:rsidRPr="00B77D2A" w:rsidRDefault="005C7E0D" w:rsidP="00404C77">
            <w:pPr>
              <w:jc w:val="center"/>
            </w:pPr>
            <w:r>
              <w:t>1601</w:t>
            </w:r>
          </w:p>
        </w:tc>
        <w:tc>
          <w:tcPr>
            <w:tcW w:w="2553" w:type="dxa"/>
            <w:tcBorders>
              <w:top w:val="single" w:sz="12" w:space="0" w:color="auto"/>
              <w:left w:val="single" w:sz="12" w:space="0" w:color="auto"/>
            </w:tcBorders>
            <w:shd w:val="clear" w:color="auto" w:fill="auto"/>
            <w:vAlign w:val="center"/>
          </w:tcPr>
          <w:p w:rsidR="00AF2FF5" w:rsidRPr="00B77D2A" w:rsidRDefault="00AF2FF5" w:rsidP="005C7E0D">
            <w:r>
              <w:rPr>
                <w:b/>
              </w:rPr>
              <w:t>9</w:t>
            </w:r>
            <w:r w:rsidRPr="00B77D2A">
              <w:rPr>
                <w:b/>
              </w:rPr>
              <w:t>.</w:t>
            </w:r>
            <w:r w:rsidRPr="00B77D2A">
              <w:t xml:space="preserve"> </w:t>
            </w:r>
            <w:r w:rsidR="00272469">
              <w:t>Airija</w:t>
            </w:r>
            <w:r w:rsidR="005C7E0D">
              <w:t xml:space="preserve"> </w:t>
            </w:r>
          </w:p>
        </w:tc>
        <w:tc>
          <w:tcPr>
            <w:tcW w:w="1134" w:type="dxa"/>
            <w:tcBorders>
              <w:top w:val="single" w:sz="12" w:space="0" w:color="auto"/>
              <w:right w:val="single" w:sz="12" w:space="0" w:color="auto"/>
            </w:tcBorders>
            <w:shd w:val="clear" w:color="auto" w:fill="auto"/>
            <w:vAlign w:val="center"/>
          </w:tcPr>
          <w:p w:rsidR="00AF2FF5" w:rsidRPr="00B77D2A" w:rsidRDefault="005C7E0D" w:rsidP="00404C77">
            <w:pPr>
              <w:jc w:val="center"/>
            </w:pPr>
            <w:r>
              <w:t>85</w:t>
            </w:r>
          </w:p>
        </w:tc>
      </w:tr>
      <w:tr w:rsidR="00AF2FF5" w:rsidRPr="00B77D2A" w:rsidTr="00FB5402">
        <w:trPr>
          <w:jc w:val="center"/>
        </w:trPr>
        <w:tc>
          <w:tcPr>
            <w:tcW w:w="2518" w:type="dxa"/>
            <w:tcBorders>
              <w:top w:val="single" w:sz="2" w:space="0" w:color="auto"/>
              <w:left w:val="single" w:sz="12" w:space="0" w:color="auto"/>
              <w:bottom w:val="single" w:sz="2" w:space="0" w:color="auto"/>
              <w:right w:val="single" w:sz="2" w:space="0" w:color="auto"/>
            </w:tcBorders>
            <w:shd w:val="clear" w:color="auto" w:fill="auto"/>
            <w:vAlign w:val="center"/>
          </w:tcPr>
          <w:p w:rsidR="00AF2FF5" w:rsidRPr="00B77D2A" w:rsidRDefault="00AF2FF5" w:rsidP="005C7E0D">
            <w:r w:rsidRPr="00B77D2A">
              <w:rPr>
                <w:b/>
              </w:rPr>
              <w:t>2.</w:t>
            </w:r>
            <w:r w:rsidRPr="00B77D2A">
              <w:t xml:space="preserve"> </w:t>
            </w:r>
            <w:r w:rsidR="005C7E0D">
              <w:t>Latvija</w:t>
            </w:r>
          </w:p>
        </w:tc>
        <w:tc>
          <w:tcPr>
            <w:tcW w:w="1134" w:type="dxa"/>
            <w:tcBorders>
              <w:top w:val="single" w:sz="2" w:space="0" w:color="auto"/>
              <w:left w:val="single" w:sz="2" w:space="0" w:color="auto"/>
              <w:bottom w:val="single" w:sz="2" w:space="0" w:color="auto"/>
              <w:right w:val="single" w:sz="2" w:space="0" w:color="auto"/>
            </w:tcBorders>
            <w:shd w:val="clear" w:color="auto" w:fill="auto"/>
            <w:vAlign w:val="center"/>
          </w:tcPr>
          <w:p w:rsidR="00AF2FF5" w:rsidRPr="00B77D2A" w:rsidRDefault="005C7E0D" w:rsidP="00404C77">
            <w:pPr>
              <w:jc w:val="center"/>
            </w:pPr>
            <w:r>
              <w:t>972</w:t>
            </w:r>
          </w:p>
        </w:tc>
        <w:tc>
          <w:tcPr>
            <w:tcW w:w="2553" w:type="dxa"/>
            <w:tcBorders>
              <w:left w:val="single" w:sz="12" w:space="0" w:color="auto"/>
            </w:tcBorders>
            <w:shd w:val="clear" w:color="auto" w:fill="auto"/>
            <w:vAlign w:val="center"/>
          </w:tcPr>
          <w:p w:rsidR="00AF2FF5" w:rsidRPr="00B77D2A" w:rsidRDefault="00AF2FF5" w:rsidP="00AF2FF5">
            <w:r>
              <w:rPr>
                <w:b/>
              </w:rPr>
              <w:t>10</w:t>
            </w:r>
            <w:r w:rsidRPr="00B77D2A">
              <w:rPr>
                <w:b/>
              </w:rPr>
              <w:t>.</w:t>
            </w:r>
            <w:r w:rsidRPr="00B77D2A">
              <w:t xml:space="preserve"> </w:t>
            </w:r>
            <w:r w:rsidR="005C7E0D">
              <w:t>Danija</w:t>
            </w:r>
          </w:p>
        </w:tc>
        <w:tc>
          <w:tcPr>
            <w:tcW w:w="1134" w:type="dxa"/>
            <w:tcBorders>
              <w:right w:val="single" w:sz="12" w:space="0" w:color="auto"/>
            </w:tcBorders>
            <w:shd w:val="clear" w:color="auto" w:fill="auto"/>
            <w:vAlign w:val="center"/>
          </w:tcPr>
          <w:p w:rsidR="00AF2FF5" w:rsidRPr="00B77D2A" w:rsidRDefault="005C7E0D" w:rsidP="00404C77">
            <w:pPr>
              <w:jc w:val="center"/>
            </w:pPr>
            <w:r>
              <w:t>82</w:t>
            </w:r>
          </w:p>
        </w:tc>
      </w:tr>
      <w:tr w:rsidR="00AF2FF5" w:rsidRPr="00B77D2A" w:rsidTr="00FB5402">
        <w:trPr>
          <w:jc w:val="center"/>
        </w:trPr>
        <w:tc>
          <w:tcPr>
            <w:tcW w:w="2518" w:type="dxa"/>
            <w:tcBorders>
              <w:top w:val="single" w:sz="2" w:space="0" w:color="auto"/>
              <w:left w:val="single" w:sz="12" w:space="0" w:color="auto"/>
              <w:bottom w:val="single" w:sz="2" w:space="0" w:color="auto"/>
              <w:right w:val="single" w:sz="2" w:space="0" w:color="auto"/>
            </w:tcBorders>
            <w:shd w:val="clear" w:color="auto" w:fill="auto"/>
            <w:vAlign w:val="center"/>
          </w:tcPr>
          <w:p w:rsidR="00AF2FF5" w:rsidRPr="00B77D2A" w:rsidRDefault="00AF2FF5" w:rsidP="005C7E0D">
            <w:r w:rsidRPr="00B77D2A">
              <w:rPr>
                <w:b/>
              </w:rPr>
              <w:t>3.</w:t>
            </w:r>
            <w:r w:rsidRPr="00B77D2A">
              <w:t xml:space="preserve"> </w:t>
            </w:r>
            <w:r w:rsidR="005C7E0D">
              <w:t>Didžioji Britanija</w:t>
            </w:r>
          </w:p>
        </w:tc>
        <w:tc>
          <w:tcPr>
            <w:tcW w:w="1134" w:type="dxa"/>
            <w:tcBorders>
              <w:top w:val="single" w:sz="2" w:space="0" w:color="auto"/>
              <w:left w:val="single" w:sz="2" w:space="0" w:color="auto"/>
              <w:bottom w:val="single" w:sz="2" w:space="0" w:color="auto"/>
              <w:right w:val="single" w:sz="2" w:space="0" w:color="auto"/>
            </w:tcBorders>
            <w:shd w:val="clear" w:color="auto" w:fill="auto"/>
            <w:vAlign w:val="center"/>
          </w:tcPr>
          <w:p w:rsidR="00AF2FF5" w:rsidRPr="00B77D2A" w:rsidRDefault="005C7E0D" w:rsidP="00404C77">
            <w:pPr>
              <w:jc w:val="center"/>
            </w:pPr>
            <w:r>
              <w:t>592</w:t>
            </w:r>
          </w:p>
        </w:tc>
        <w:tc>
          <w:tcPr>
            <w:tcW w:w="2553" w:type="dxa"/>
            <w:tcBorders>
              <w:left w:val="single" w:sz="12" w:space="0" w:color="auto"/>
            </w:tcBorders>
            <w:shd w:val="clear" w:color="auto" w:fill="auto"/>
            <w:vAlign w:val="center"/>
          </w:tcPr>
          <w:p w:rsidR="00AF2FF5" w:rsidRPr="00B77D2A" w:rsidRDefault="00AF2FF5" w:rsidP="00AF2FF5">
            <w:r>
              <w:rPr>
                <w:b/>
              </w:rPr>
              <w:t>11</w:t>
            </w:r>
            <w:r w:rsidRPr="00B77D2A">
              <w:rPr>
                <w:b/>
              </w:rPr>
              <w:t>.</w:t>
            </w:r>
            <w:r w:rsidRPr="00B77D2A">
              <w:t xml:space="preserve"> </w:t>
            </w:r>
            <w:r w:rsidR="005C7E0D">
              <w:t>Ukraina</w:t>
            </w:r>
          </w:p>
        </w:tc>
        <w:tc>
          <w:tcPr>
            <w:tcW w:w="1134" w:type="dxa"/>
            <w:tcBorders>
              <w:right w:val="single" w:sz="12" w:space="0" w:color="auto"/>
            </w:tcBorders>
            <w:shd w:val="clear" w:color="auto" w:fill="auto"/>
            <w:vAlign w:val="center"/>
          </w:tcPr>
          <w:p w:rsidR="00AF2FF5" w:rsidRPr="00B77D2A" w:rsidRDefault="005C7E0D" w:rsidP="00404C77">
            <w:pPr>
              <w:jc w:val="center"/>
            </w:pPr>
            <w:r>
              <w:t>79</w:t>
            </w:r>
          </w:p>
        </w:tc>
      </w:tr>
      <w:tr w:rsidR="00AF2FF5" w:rsidRPr="00B77D2A" w:rsidTr="00FB5402">
        <w:trPr>
          <w:jc w:val="center"/>
        </w:trPr>
        <w:tc>
          <w:tcPr>
            <w:tcW w:w="2518" w:type="dxa"/>
            <w:tcBorders>
              <w:top w:val="single" w:sz="2" w:space="0" w:color="auto"/>
              <w:left w:val="single" w:sz="12" w:space="0" w:color="auto"/>
              <w:bottom w:val="single" w:sz="2" w:space="0" w:color="auto"/>
              <w:right w:val="single" w:sz="2" w:space="0" w:color="auto"/>
            </w:tcBorders>
            <w:shd w:val="clear" w:color="auto" w:fill="auto"/>
            <w:vAlign w:val="center"/>
          </w:tcPr>
          <w:p w:rsidR="00AF2FF5" w:rsidRPr="00B77D2A" w:rsidRDefault="00AF2FF5" w:rsidP="00AF2FF5">
            <w:r w:rsidRPr="00B77D2A">
              <w:rPr>
                <w:b/>
              </w:rPr>
              <w:t>4.</w:t>
            </w:r>
            <w:r w:rsidRPr="00B77D2A">
              <w:t xml:space="preserve"> </w:t>
            </w:r>
            <w:r>
              <w:t>Norvegija</w:t>
            </w:r>
          </w:p>
        </w:tc>
        <w:tc>
          <w:tcPr>
            <w:tcW w:w="1134" w:type="dxa"/>
            <w:tcBorders>
              <w:top w:val="single" w:sz="2" w:space="0" w:color="auto"/>
              <w:left w:val="single" w:sz="2" w:space="0" w:color="auto"/>
              <w:bottom w:val="single" w:sz="2" w:space="0" w:color="auto"/>
              <w:right w:val="single" w:sz="2" w:space="0" w:color="auto"/>
            </w:tcBorders>
            <w:shd w:val="clear" w:color="auto" w:fill="auto"/>
            <w:vAlign w:val="center"/>
          </w:tcPr>
          <w:p w:rsidR="00AF2FF5" w:rsidRPr="00B77D2A" w:rsidRDefault="005C7E0D" w:rsidP="00404C77">
            <w:pPr>
              <w:jc w:val="center"/>
            </w:pPr>
            <w:r>
              <w:t>196</w:t>
            </w:r>
          </w:p>
        </w:tc>
        <w:tc>
          <w:tcPr>
            <w:tcW w:w="2553" w:type="dxa"/>
            <w:tcBorders>
              <w:left w:val="single" w:sz="12" w:space="0" w:color="auto"/>
            </w:tcBorders>
            <w:shd w:val="clear" w:color="auto" w:fill="auto"/>
            <w:vAlign w:val="center"/>
          </w:tcPr>
          <w:p w:rsidR="00AF2FF5" w:rsidRPr="00B77D2A" w:rsidRDefault="00AF2FF5" w:rsidP="00AF2FF5">
            <w:r>
              <w:rPr>
                <w:b/>
              </w:rPr>
              <w:t>12</w:t>
            </w:r>
            <w:r w:rsidRPr="00B77D2A">
              <w:rPr>
                <w:b/>
              </w:rPr>
              <w:t>.</w:t>
            </w:r>
            <w:r w:rsidRPr="00B77D2A">
              <w:t xml:space="preserve"> </w:t>
            </w:r>
            <w:r w:rsidR="005C7E0D">
              <w:t>Kroatija</w:t>
            </w:r>
          </w:p>
        </w:tc>
        <w:tc>
          <w:tcPr>
            <w:tcW w:w="1134" w:type="dxa"/>
            <w:tcBorders>
              <w:right w:val="single" w:sz="12" w:space="0" w:color="auto"/>
            </w:tcBorders>
            <w:shd w:val="clear" w:color="auto" w:fill="auto"/>
            <w:vAlign w:val="center"/>
          </w:tcPr>
          <w:p w:rsidR="00AF2FF5" w:rsidRPr="00B77D2A" w:rsidRDefault="005C7E0D" w:rsidP="00404C77">
            <w:pPr>
              <w:jc w:val="center"/>
            </w:pPr>
            <w:r>
              <w:t>64</w:t>
            </w:r>
          </w:p>
        </w:tc>
      </w:tr>
      <w:tr w:rsidR="00AF2FF5" w:rsidRPr="00B77D2A" w:rsidTr="00FB5402">
        <w:trPr>
          <w:jc w:val="center"/>
        </w:trPr>
        <w:tc>
          <w:tcPr>
            <w:tcW w:w="2518" w:type="dxa"/>
            <w:tcBorders>
              <w:top w:val="single" w:sz="2" w:space="0" w:color="auto"/>
              <w:left w:val="single" w:sz="12" w:space="0" w:color="auto"/>
              <w:bottom w:val="single" w:sz="2" w:space="0" w:color="auto"/>
              <w:right w:val="single" w:sz="2" w:space="0" w:color="auto"/>
            </w:tcBorders>
            <w:shd w:val="clear" w:color="auto" w:fill="auto"/>
            <w:vAlign w:val="center"/>
          </w:tcPr>
          <w:p w:rsidR="00AF2FF5" w:rsidRPr="00B77D2A" w:rsidRDefault="00AF2FF5" w:rsidP="005C7E0D">
            <w:r w:rsidRPr="00B77D2A">
              <w:rPr>
                <w:b/>
              </w:rPr>
              <w:t>5.</w:t>
            </w:r>
            <w:r w:rsidRPr="00B77D2A">
              <w:t xml:space="preserve"> </w:t>
            </w:r>
            <w:r w:rsidR="005C7E0D">
              <w:t xml:space="preserve">Vokietija </w:t>
            </w:r>
          </w:p>
        </w:tc>
        <w:tc>
          <w:tcPr>
            <w:tcW w:w="1134" w:type="dxa"/>
            <w:tcBorders>
              <w:top w:val="single" w:sz="2" w:space="0" w:color="auto"/>
              <w:left w:val="single" w:sz="2" w:space="0" w:color="auto"/>
              <w:bottom w:val="single" w:sz="2" w:space="0" w:color="auto"/>
              <w:right w:val="single" w:sz="2" w:space="0" w:color="auto"/>
            </w:tcBorders>
            <w:shd w:val="clear" w:color="auto" w:fill="auto"/>
            <w:vAlign w:val="center"/>
          </w:tcPr>
          <w:p w:rsidR="00AF2FF5" w:rsidRPr="00B77D2A" w:rsidRDefault="005C7E0D" w:rsidP="00404C77">
            <w:pPr>
              <w:jc w:val="center"/>
            </w:pPr>
            <w:r>
              <w:t>196</w:t>
            </w:r>
          </w:p>
        </w:tc>
        <w:tc>
          <w:tcPr>
            <w:tcW w:w="2553" w:type="dxa"/>
            <w:tcBorders>
              <w:left w:val="single" w:sz="12" w:space="0" w:color="auto"/>
            </w:tcBorders>
            <w:shd w:val="clear" w:color="auto" w:fill="auto"/>
            <w:vAlign w:val="center"/>
          </w:tcPr>
          <w:p w:rsidR="00AF2FF5" w:rsidRPr="00B77D2A" w:rsidRDefault="00AF2FF5" w:rsidP="00AF2FF5">
            <w:r>
              <w:rPr>
                <w:b/>
              </w:rPr>
              <w:t>13</w:t>
            </w:r>
            <w:r w:rsidRPr="00B77D2A">
              <w:rPr>
                <w:b/>
              </w:rPr>
              <w:t>.</w:t>
            </w:r>
            <w:r w:rsidRPr="00B77D2A">
              <w:t xml:space="preserve"> </w:t>
            </w:r>
            <w:r w:rsidR="005C7E0D">
              <w:t>Lenkija</w:t>
            </w:r>
          </w:p>
        </w:tc>
        <w:tc>
          <w:tcPr>
            <w:tcW w:w="1134" w:type="dxa"/>
            <w:tcBorders>
              <w:right w:val="single" w:sz="12" w:space="0" w:color="auto"/>
            </w:tcBorders>
            <w:shd w:val="clear" w:color="auto" w:fill="auto"/>
            <w:vAlign w:val="center"/>
          </w:tcPr>
          <w:p w:rsidR="00AF2FF5" w:rsidRPr="00B77D2A" w:rsidRDefault="005C7E0D" w:rsidP="00404C77">
            <w:pPr>
              <w:jc w:val="center"/>
            </w:pPr>
            <w:r>
              <w:t>62</w:t>
            </w:r>
          </w:p>
        </w:tc>
      </w:tr>
      <w:tr w:rsidR="00AF2FF5" w:rsidRPr="00B77D2A" w:rsidTr="00FB5402">
        <w:trPr>
          <w:jc w:val="center"/>
        </w:trPr>
        <w:tc>
          <w:tcPr>
            <w:tcW w:w="2518" w:type="dxa"/>
            <w:tcBorders>
              <w:top w:val="single" w:sz="2" w:space="0" w:color="auto"/>
              <w:left w:val="single" w:sz="12" w:space="0" w:color="auto"/>
              <w:bottom w:val="single" w:sz="2" w:space="0" w:color="auto"/>
              <w:right w:val="single" w:sz="2" w:space="0" w:color="auto"/>
            </w:tcBorders>
            <w:shd w:val="clear" w:color="auto" w:fill="auto"/>
            <w:vAlign w:val="center"/>
          </w:tcPr>
          <w:p w:rsidR="00AF2FF5" w:rsidRPr="00B77D2A" w:rsidRDefault="00AF2FF5" w:rsidP="005C7E0D">
            <w:r w:rsidRPr="00B77D2A">
              <w:rPr>
                <w:b/>
              </w:rPr>
              <w:t>6.</w:t>
            </w:r>
            <w:r w:rsidRPr="00B77D2A">
              <w:t xml:space="preserve"> </w:t>
            </w:r>
            <w:r w:rsidR="005C7E0D">
              <w:t>Rusija</w:t>
            </w:r>
          </w:p>
        </w:tc>
        <w:tc>
          <w:tcPr>
            <w:tcW w:w="1134" w:type="dxa"/>
            <w:tcBorders>
              <w:top w:val="single" w:sz="2" w:space="0" w:color="auto"/>
              <w:left w:val="single" w:sz="2" w:space="0" w:color="auto"/>
              <w:bottom w:val="single" w:sz="2" w:space="0" w:color="auto"/>
              <w:right w:val="single" w:sz="2" w:space="0" w:color="auto"/>
            </w:tcBorders>
            <w:shd w:val="clear" w:color="auto" w:fill="auto"/>
            <w:vAlign w:val="center"/>
          </w:tcPr>
          <w:p w:rsidR="00AF2FF5" w:rsidRPr="00B77D2A" w:rsidRDefault="005C7E0D" w:rsidP="00AF2FF5">
            <w:pPr>
              <w:jc w:val="center"/>
            </w:pPr>
            <w:r>
              <w:t>133</w:t>
            </w:r>
          </w:p>
        </w:tc>
        <w:tc>
          <w:tcPr>
            <w:tcW w:w="2553" w:type="dxa"/>
            <w:tcBorders>
              <w:left w:val="single" w:sz="12" w:space="0" w:color="auto"/>
            </w:tcBorders>
            <w:shd w:val="clear" w:color="auto" w:fill="auto"/>
            <w:vAlign w:val="center"/>
          </w:tcPr>
          <w:p w:rsidR="00AF2FF5" w:rsidRPr="00B77D2A" w:rsidRDefault="00AF2FF5" w:rsidP="005C7E0D">
            <w:r>
              <w:rPr>
                <w:b/>
              </w:rPr>
              <w:t>14</w:t>
            </w:r>
            <w:r w:rsidRPr="00B77D2A">
              <w:rPr>
                <w:b/>
              </w:rPr>
              <w:t>.</w:t>
            </w:r>
            <w:r w:rsidRPr="00B77D2A">
              <w:t xml:space="preserve"> </w:t>
            </w:r>
            <w:r w:rsidR="005C7E0D">
              <w:t>Estija</w:t>
            </w:r>
          </w:p>
        </w:tc>
        <w:tc>
          <w:tcPr>
            <w:tcW w:w="1134" w:type="dxa"/>
            <w:tcBorders>
              <w:right w:val="single" w:sz="12" w:space="0" w:color="auto"/>
            </w:tcBorders>
            <w:shd w:val="clear" w:color="auto" w:fill="auto"/>
            <w:vAlign w:val="center"/>
          </w:tcPr>
          <w:p w:rsidR="00AF2FF5" w:rsidRPr="00B77D2A" w:rsidRDefault="005C7E0D" w:rsidP="00404C77">
            <w:pPr>
              <w:jc w:val="center"/>
            </w:pPr>
            <w:r>
              <w:t>59</w:t>
            </w:r>
          </w:p>
        </w:tc>
      </w:tr>
      <w:tr w:rsidR="00AF2FF5" w:rsidRPr="00B77D2A" w:rsidTr="00FB5402">
        <w:trPr>
          <w:jc w:val="center"/>
        </w:trPr>
        <w:tc>
          <w:tcPr>
            <w:tcW w:w="2518" w:type="dxa"/>
            <w:tcBorders>
              <w:top w:val="single" w:sz="2" w:space="0" w:color="auto"/>
              <w:left w:val="single" w:sz="12" w:space="0" w:color="auto"/>
              <w:bottom w:val="single" w:sz="2" w:space="0" w:color="auto"/>
              <w:right w:val="single" w:sz="2" w:space="0" w:color="auto"/>
            </w:tcBorders>
            <w:shd w:val="clear" w:color="auto" w:fill="auto"/>
            <w:vAlign w:val="center"/>
          </w:tcPr>
          <w:p w:rsidR="00AF2FF5" w:rsidRPr="00B77D2A" w:rsidRDefault="00AF2FF5" w:rsidP="005C7E0D">
            <w:pPr>
              <w:rPr>
                <w:b/>
              </w:rPr>
            </w:pPr>
            <w:r>
              <w:rPr>
                <w:b/>
              </w:rPr>
              <w:t>7.</w:t>
            </w:r>
            <w:r w:rsidR="00272469">
              <w:t xml:space="preserve"> </w:t>
            </w:r>
            <w:r w:rsidR="005C7E0D">
              <w:t>Švedija</w:t>
            </w:r>
          </w:p>
        </w:tc>
        <w:tc>
          <w:tcPr>
            <w:tcW w:w="1134" w:type="dxa"/>
            <w:tcBorders>
              <w:top w:val="single" w:sz="2" w:space="0" w:color="auto"/>
              <w:left w:val="single" w:sz="2" w:space="0" w:color="auto"/>
              <w:bottom w:val="single" w:sz="2" w:space="0" w:color="auto"/>
              <w:right w:val="single" w:sz="2" w:space="0" w:color="auto"/>
            </w:tcBorders>
            <w:shd w:val="clear" w:color="auto" w:fill="auto"/>
            <w:vAlign w:val="center"/>
          </w:tcPr>
          <w:p w:rsidR="00AF2FF5" w:rsidRPr="00B77D2A" w:rsidRDefault="005C7E0D" w:rsidP="00AF2FF5">
            <w:pPr>
              <w:jc w:val="center"/>
            </w:pPr>
            <w:r>
              <w:t>110</w:t>
            </w:r>
          </w:p>
        </w:tc>
        <w:tc>
          <w:tcPr>
            <w:tcW w:w="2553" w:type="dxa"/>
            <w:tcBorders>
              <w:left w:val="single" w:sz="12" w:space="0" w:color="auto"/>
            </w:tcBorders>
            <w:shd w:val="clear" w:color="auto" w:fill="auto"/>
            <w:vAlign w:val="center"/>
          </w:tcPr>
          <w:p w:rsidR="00AF2FF5" w:rsidRDefault="00AF2FF5" w:rsidP="00AF2FF5">
            <w:pPr>
              <w:rPr>
                <w:b/>
              </w:rPr>
            </w:pPr>
            <w:r>
              <w:rPr>
                <w:b/>
              </w:rPr>
              <w:t>15.</w:t>
            </w:r>
            <w:r w:rsidR="005C7E0D">
              <w:t xml:space="preserve"> Pietų Korėja</w:t>
            </w:r>
          </w:p>
        </w:tc>
        <w:tc>
          <w:tcPr>
            <w:tcW w:w="1134" w:type="dxa"/>
            <w:tcBorders>
              <w:right w:val="single" w:sz="12" w:space="0" w:color="auto"/>
            </w:tcBorders>
            <w:shd w:val="clear" w:color="auto" w:fill="auto"/>
            <w:vAlign w:val="center"/>
          </w:tcPr>
          <w:p w:rsidR="00AF2FF5" w:rsidRPr="00B77D2A" w:rsidRDefault="005C7E0D" w:rsidP="00404C77">
            <w:pPr>
              <w:jc w:val="center"/>
            </w:pPr>
            <w:r>
              <w:t>56</w:t>
            </w:r>
          </w:p>
        </w:tc>
      </w:tr>
      <w:tr w:rsidR="00AF2FF5" w:rsidRPr="00B77D2A" w:rsidTr="00FB5402">
        <w:trPr>
          <w:jc w:val="center"/>
        </w:trPr>
        <w:tc>
          <w:tcPr>
            <w:tcW w:w="2518" w:type="dxa"/>
            <w:tcBorders>
              <w:top w:val="single" w:sz="2" w:space="0" w:color="auto"/>
              <w:left w:val="single" w:sz="12" w:space="0" w:color="auto"/>
              <w:bottom w:val="single" w:sz="12" w:space="0" w:color="auto"/>
              <w:right w:val="single" w:sz="2" w:space="0" w:color="auto"/>
            </w:tcBorders>
            <w:shd w:val="clear" w:color="auto" w:fill="auto"/>
            <w:vAlign w:val="center"/>
          </w:tcPr>
          <w:p w:rsidR="00AF2FF5" w:rsidRPr="00B77D2A" w:rsidRDefault="00AF2FF5" w:rsidP="005C7E0D">
            <w:r>
              <w:rPr>
                <w:b/>
              </w:rPr>
              <w:t>8</w:t>
            </w:r>
            <w:r w:rsidRPr="00B77D2A">
              <w:rPr>
                <w:b/>
              </w:rPr>
              <w:t>.</w:t>
            </w:r>
            <w:r w:rsidRPr="00B77D2A">
              <w:t xml:space="preserve"> </w:t>
            </w:r>
            <w:r w:rsidR="005C7E0D">
              <w:t>Prancūzija</w:t>
            </w:r>
          </w:p>
        </w:tc>
        <w:tc>
          <w:tcPr>
            <w:tcW w:w="1134" w:type="dxa"/>
            <w:tcBorders>
              <w:top w:val="single" w:sz="2" w:space="0" w:color="auto"/>
              <w:left w:val="single" w:sz="2" w:space="0" w:color="auto"/>
              <w:bottom w:val="single" w:sz="12" w:space="0" w:color="auto"/>
              <w:right w:val="single" w:sz="2" w:space="0" w:color="auto"/>
            </w:tcBorders>
            <w:shd w:val="clear" w:color="auto" w:fill="auto"/>
            <w:vAlign w:val="center"/>
          </w:tcPr>
          <w:p w:rsidR="00AF2FF5" w:rsidRPr="00B77D2A" w:rsidRDefault="005C7E0D" w:rsidP="00404C77">
            <w:pPr>
              <w:jc w:val="center"/>
            </w:pPr>
            <w:r>
              <w:t>100</w:t>
            </w:r>
          </w:p>
        </w:tc>
        <w:tc>
          <w:tcPr>
            <w:tcW w:w="2553" w:type="dxa"/>
            <w:tcBorders>
              <w:left w:val="single" w:sz="12" w:space="0" w:color="auto"/>
              <w:bottom w:val="single" w:sz="12" w:space="0" w:color="auto"/>
            </w:tcBorders>
            <w:shd w:val="clear" w:color="auto" w:fill="auto"/>
            <w:vAlign w:val="center"/>
          </w:tcPr>
          <w:p w:rsidR="00AF2FF5" w:rsidRPr="00B77D2A" w:rsidRDefault="00AF2FF5" w:rsidP="00AF2FF5">
            <w:r>
              <w:rPr>
                <w:b/>
              </w:rPr>
              <w:t>16</w:t>
            </w:r>
            <w:r w:rsidRPr="00B77D2A">
              <w:rPr>
                <w:b/>
              </w:rPr>
              <w:t>.</w:t>
            </w:r>
            <w:r w:rsidRPr="00B77D2A">
              <w:t xml:space="preserve"> </w:t>
            </w:r>
            <w:r w:rsidR="005C7E0D">
              <w:t>Japonija</w:t>
            </w:r>
          </w:p>
        </w:tc>
        <w:tc>
          <w:tcPr>
            <w:tcW w:w="1134" w:type="dxa"/>
            <w:tcBorders>
              <w:bottom w:val="single" w:sz="12" w:space="0" w:color="auto"/>
              <w:right w:val="single" w:sz="12" w:space="0" w:color="auto"/>
            </w:tcBorders>
            <w:shd w:val="clear" w:color="auto" w:fill="auto"/>
            <w:vAlign w:val="center"/>
          </w:tcPr>
          <w:p w:rsidR="00AF2FF5" w:rsidRPr="00B77D2A" w:rsidRDefault="005C7E0D" w:rsidP="00404C77">
            <w:pPr>
              <w:jc w:val="center"/>
            </w:pPr>
            <w:r>
              <w:t>51</w:t>
            </w:r>
          </w:p>
        </w:tc>
      </w:tr>
    </w:tbl>
    <w:p w:rsidR="00707B63" w:rsidRDefault="00707B63" w:rsidP="00022E9D"/>
    <w:p w:rsidR="00B77D2A" w:rsidRDefault="00B77D2A" w:rsidP="00B77D2A">
      <w:pPr>
        <w:ind w:firstLine="1296"/>
        <w:jc w:val="both"/>
      </w:pPr>
      <w:r w:rsidRPr="00B77D2A">
        <w:t xml:space="preserve">Utenos </w:t>
      </w:r>
      <w:r w:rsidR="0038315E">
        <w:t>TIC</w:t>
      </w:r>
      <w:r w:rsidRPr="00B77D2A">
        <w:t xml:space="preserve"> internetinėje svetainėje yra pateikiama įvairi informacij</w:t>
      </w:r>
      <w:r w:rsidR="00BB37E8">
        <w:t>a</w:t>
      </w:r>
      <w:r w:rsidRPr="00B77D2A">
        <w:t>, kuri yra aktuali turistams, t.y. informacija su aprašymais yra patalpinta</w:t>
      </w:r>
      <w:r w:rsidR="00BB37E8">
        <w:t xml:space="preserve"> į šiuos pagrindinius skyrius: „L</w:t>
      </w:r>
      <w:r w:rsidRPr="00B77D2A">
        <w:t>ankytinos vietos</w:t>
      </w:r>
      <w:r w:rsidR="00BB37E8">
        <w:t>“,</w:t>
      </w:r>
      <w:r w:rsidRPr="00B77D2A">
        <w:t xml:space="preserve"> </w:t>
      </w:r>
      <w:r w:rsidR="00BB37E8">
        <w:t>„Ką ve</w:t>
      </w:r>
      <w:r w:rsidR="0038315E">
        <w:t>i</w:t>
      </w:r>
      <w:r w:rsidR="00BB37E8">
        <w:t>kti?“ (informacija apie pramogas, edukacines programas, renginius, turistiniai maršrutai), „Nakvynė“, „Maitinimas“, „Ekskursijos“, „Utenos TIC“ (kontaktai, veikla, naujienos).</w:t>
      </w:r>
      <w:r w:rsidRPr="00B77D2A">
        <w:t xml:space="preserve"> Natūralu, kad jungdamiesi prie svetainės, asmenys ieško skirtingos, kiekvienam aktualios informacijos. </w:t>
      </w:r>
    </w:p>
    <w:p w:rsidR="00811347" w:rsidRPr="00B77D2A" w:rsidRDefault="00811347" w:rsidP="00B77D2A">
      <w:pPr>
        <w:ind w:firstLine="1296"/>
        <w:jc w:val="both"/>
      </w:pPr>
    </w:p>
    <w:p w:rsidR="00B77D2A" w:rsidRPr="00B77D2A" w:rsidRDefault="00BB37E8" w:rsidP="00811347">
      <w:pPr>
        <w:jc w:val="center"/>
      </w:pPr>
      <w:r>
        <w:rPr>
          <w:b/>
        </w:rPr>
        <w:t>2</w:t>
      </w:r>
      <w:r w:rsidR="00B77D2A" w:rsidRPr="00B77D2A">
        <w:rPr>
          <w:b/>
        </w:rPr>
        <w:t xml:space="preserve"> lentelė.</w:t>
      </w:r>
      <w:r w:rsidR="00B77D2A" w:rsidRPr="00B77D2A">
        <w:t xml:space="preserve"> Populiariausi svetainės </w:t>
      </w:r>
      <w:hyperlink r:id="rId17" w:history="1">
        <w:r w:rsidR="00B77D2A" w:rsidRPr="00B77D2A">
          <w:t>www.utenainfo.lt</w:t>
        </w:r>
      </w:hyperlink>
      <w:r w:rsidR="00B77D2A">
        <w:t xml:space="preserve"> vidiniai puslapiai 20</w:t>
      </w:r>
      <w:r w:rsidR="00C47712">
        <w:t xml:space="preserve">20 </w:t>
      </w:r>
      <w:r w:rsidR="00B77D2A" w:rsidRPr="00B77D2A">
        <w:t>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1134"/>
        <w:gridCol w:w="1275"/>
        <w:gridCol w:w="2835"/>
        <w:gridCol w:w="1134"/>
        <w:gridCol w:w="1241"/>
      </w:tblGrid>
      <w:tr w:rsidR="00811347" w:rsidRPr="00B77D2A" w:rsidTr="009E2007">
        <w:tc>
          <w:tcPr>
            <w:tcW w:w="2235" w:type="dxa"/>
            <w:tcBorders>
              <w:top w:val="single" w:sz="12" w:space="0" w:color="auto"/>
              <w:left w:val="single" w:sz="12" w:space="0" w:color="auto"/>
              <w:bottom w:val="single" w:sz="12" w:space="0" w:color="auto"/>
              <w:right w:val="single" w:sz="12" w:space="0" w:color="auto"/>
            </w:tcBorders>
            <w:shd w:val="clear" w:color="auto" w:fill="DBE5F1" w:themeFill="accent1" w:themeFillTint="33"/>
          </w:tcPr>
          <w:p w:rsidR="00B77D2A" w:rsidRPr="00C47712" w:rsidRDefault="00B77D2A" w:rsidP="00811347">
            <w:pPr>
              <w:rPr>
                <w:b/>
              </w:rPr>
            </w:pPr>
            <w:r w:rsidRPr="00C47712">
              <w:rPr>
                <w:b/>
              </w:rPr>
              <w:t>Vidinio puslapio pavadinimas</w:t>
            </w:r>
          </w:p>
        </w:tc>
        <w:tc>
          <w:tcPr>
            <w:tcW w:w="1134" w:type="dxa"/>
            <w:tcBorders>
              <w:top w:val="single" w:sz="12" w:space="0" w:color="auto"/>
              <w:left w:val="single" w:sz="12" w:space="0" w:color="auto"/>
              <w:bottom w:val="single" w:sz="12" w:space="0" w:color="auto"/>
              <w:right w:val="single" w:sz="12" w:space="0" w:color="auto"/>
            </w:tcBorders>
            <w:shd w:val="clear" w:color="auto" w:fill="DBE5F1" w:themeFill="accent1" w:themeFillTint="33"/>
          </w:tcPr>
          <w:p w:rsidR="00B77D2A" w:rsidRPr="00C47712" w:rsidRDefault="00B77D2A" w:rsidP="00811347">
            <w:pPr>
              <w:jc w:val="both"/>
              <w:rPr>
                <w:b/>
              </w:rPr>
            </w:pPr>
            <w:r w:rsidRPr="00C47712">
              <w:rPr>
                <w:b/>
              </w:rPr>
              <w:t>Seansų skaičius</w:t>
            </w:r>
          </w:p>
        </w:tc>
        <w:tc>
          <w:tcPr>
            <w:tcW w:w="1275" w:type="dxa"/>
            <w:tcBorders>
              <w:top w:val="single" w:sz="12" w:space="0" w:color="auto"/>
              <w:left w:val="single" w:sz="12" w:space="0" w:color="auto"/>
              <w:bottom w:val="single" w:sz="12" w:space="0" w:color="auto"/>
              <w:right w:val="single" w:sz="12" w:space="0" w:color="auto"/>
            </w:tcBorders>
            <w:shd w:val="clear" w:color="auto" w:fill="DBE5F1" w:themeFill="accent1" w:themeFillTint="33"/>
          </w:tcPr>
          <w:p w:rsidR="00B77D2A" w:rsidRPr="00C47712" w:rsidRDefault="00B77D2A" w:rsidP="00811347">
            <w:pPr>
              <w:jc w:val="both"/>
              <w:rPr>
                <w:b/>
              </w:rPr>
            </w:pPr>
            <w:r w:rsidRPr="00C47712">
              <w:rPr>
                <w:b/>
              </w:rPr>
              <w:t>Procentai</w:t>
            </w:r>
          </w:p>
        </w:tc>
        <w:tc>
          <w:tcPr>
            <w:tcW w:w="2835" w:type="dxa"/>
            <w:tcBorders>
              <w:top w:val="single" w:sz="12" w:space="0" w:color="auto"/>
              <w:left w:val="single" w:sz="12" w:space="0" w:color="auto"/>
              <w:bottom w:val="single" w:sz="12" w:space="0" w:color="auto"/>
              <w:right w:val="single" w:sz="12" w:space="0" w:color="auto"/>
            </w:tcBorders>
            <w:shd w:val="clear" w:color="auto" w:fill="DBE5F1" w:themeFill="accent1" w:themeFillTint="33"/>
          </w:tcPr>
          <w:p w:rsidR="00B77D2A" w:rsidRPr="00C47712" w:rsidRDefault="00B77D2A" w:rsidP="00811347">
            <w:pPr>
              <w:rPr>
                <w:b/>
              </w:rPr>
            </w:pPr>
            <w:r w:rsidRPr="00C47712">
              <w:rPr>
                <w:b/>
              </w:rPr>
              <w:t>Vidinio puslapio pavadinimas</w:t>
            </w:r>
          </w:p>
        </w:tc>
        <w:tc>
          <w:tcPr>
            <w:tcW w:w="1134" w:type="dxa"/>
            <w:tcBorders>
              <w:top w:val="single" w:sz="12" w:space="0" w:color="auto"/>
              <w:left w:val="single" w:sz="12" w:space="0" w:color="auto"/>
              <w:bottom w:val="single" w:sz="12" w:space="0" w:color="auto"/>
              <w:right w:val="single" w:sz="12" w:space="0" w:color="auto"/>
            </w:tcBorders>
            <w:shd w:val="clear" w:color="auto" w:fill="DBE5F1" w:themeFill="accent1" w:themeFillTint="33"/>
          </w:tcPr>
          <w:p w:rsidR="00B77D2A" w:rsidRPr="00C47712" w:rsidRDefault="00B77D2A" w:rsidP="00811347">
            <w:pPr>
              <w:jc w:val="both"/>
              <w:rPr>
                <w:b/>
              </w:rPr>
            </w:pPr>
            <w:r w:rsidRPr="00C47712">
              <w:rPr>
                <w:b/>
              </w:rPr>
              <w:t>Seansų skaičius</w:t>
            </w:r>
          </w:p>
        </w:tc>
        <w:tc>
          <w:tcPr>
            <w:tcW w:w="1241" w:type="dxa"/>
            <w:tcBorders>
              <w:top w:val="single" w:sz="12" w:space="0" w:color="auto"/>
              <w:left w:val="single" w:sz="12" w:space="0" w:color="auto"/>
              <w:bottom w:val="single" w:sz="12" w:space="0" w:color="auto"/>
              <w:right w:val="single" w:sz="12" w:space="0" w:color="auto"/>
            </w:tcBorders>
            <w:shd w:val="clear" w:color="auto" w:fill="DBE5F1" w:themeFill="accent1" w:themeFillTint="33"/>
          </w:tcPr>
          <w:p w:rsidR="00B77D2A" w:rsidRPr="00C47712" w:rsidRDefault="00B77D2A" w:rsidP="00811347">
            <w:pPr>
              <w:jc w:val="both"/>
              <w:rPr>
                <w:b/>
              </w:rPr>
            </w:pPr>
            <w:r w:rsidRPr="00C47712">
              <w:rPr>
                <w:b/>
              </w:rPr>
              <w:t xml:space="preserve">Procentai </w:t>
            </w:r>
          </w:p>
        </w:tc>
      </w:tr>
      <w:tr w:rsidR="00B77D2A" w:rsidRPr="00B77D2A" w:rsidTr="009E2007">
        <w:tc>
          <w:tcPr>
            <w:tcW w:w="2235" w:type="dxa"/>
            <w:tcBorders>
              <w:top w:val="single" w:sz="12" w:space="0" w:color="auto"/>
              <w:left w:val="single" w:sz="12" w:space="0" w:color="auto"/>
              <w:bottom w:val="single" w:sz="2" w:space="0" w:color="auto"/>
              <w:right w:val="single" w:sz="2" w:space="0" w:color="auto"/>
            </w:tcBorders>
            <w:shd w:val="clear" w:color="auto" w:fill="auto"/>
            <w:vAlign w:val="center"/>
          </w:tcPr>
          <w:p w:rsidR="00B77D2A" w:rsidRPr="00C47712" w:rsidRDefault="00B77D2A" w:rsidP="00811347">
            <w:r w:rsidRPr="00C47712">
              <w:rPr>
                <w:b/>
              </w:rPr>
              <w:t>1.</w:t>
            </w:r>
            <w:r w:rsidRPr="00C47712">
              <w:t xml:space="preserve"> Ekskursijų sąrašas</w:t>
            </w:r>
          </w:p>
        </w:tc>
        <w:tc>
          <w:tcPr>
            <w:tcW w:w="1134" w:type="dxa"/>
            <w:tcBorders>
              <w:top w:val="single" w:sz="12" w:space="0" w:color="auto"/>
              <w:left w:val="single" w:sz="2" w:space="0" w:color="auto"/>
              <w:bottom w:val="single" w:sz="2" w:space="0" w:color="auto"/>
              <w:right w:val="single" w:sz="2" w:space="0" w:color="auto"/>
            </w:tcBorders>
            <w:shd w:val="clear" w:color="auto" w:fill="auto"/>
            <w:vAlign w:val="center"/>
          </w:tcPr>
          <w:p w:rsidR="00B77D2A" w:rsidRPr="00C47712" w:rsidRDefault="00C47712" w:rsidP="00811347">
            <w:pPr>
              <w:jc w:val="center"/>
            </w:pPr>
            <w:r>
              <w:t>13810</w:t>
            </w:r>
          </w:p>
        </w:tc>
        <w:tc>
          <w:tcPr>
            <w:tcW w:w="1275" w:type="dxa"/>
            <w:tcBorders>
              <w:top w:val="single" w:sz="12" w:space="0" w:color="auto"/>
              <w:left w:val="single" w:sz="2" w:space="0" w:color="auto"/>
              <w:bottom w:val="single" w:sz="2" w:space="0" w:color="auto"/>
              <w:right w:val="single" w:sz="12" w:space="0" w:color="auto"/>
            </w:tcBorders>
            <w:shd w:val="clear" w:color="auto" w:fill="auto"/>
            <w:vAlign w:val="center"/>
          </w:tcPr>
          <w:p w:rsidR="00B77D2A" w:rsidRPr="00C47712" w:rsidRDefault="00B77D2A" w:rsidP="00811347">
            <w:pPr>
              <w:jc w:val="center"/>
              <w:rPr>
                <w:b/>
              </w:rPr>
            </w:pPr>
            <w:r w:rsidRPr="00C47712">
              <w:rPr>
                <w:b/>
              </w:rPr>
              <w:t>1</w:t>
            </w:r>
            <w:r w:rsidR="00C47712">
              <w:rPr>
                <w:b/>
              </w:rPr>
              <w:t xml:space="preserve">7 </w:t>
            </w:r>
            <w:r w:rsidRPr="00C47712">
              <w:rPr>
                <w:b/>
              </w:rPr>
              <w:t>%</w:t>
            </w:r>
            <w:r w:rsidR="00C47712">
              <w:rPr>
                <w:b/>
              </w:rPr>
              <w:t xml:space="preserve"> </w:t>
            </w:r>
          </w:p>
        </w:tc>
        <w:tc>
          <w:tcPr>
            <w:tcW w:w="2835" w:type="dxa"/>
            <w:tcBorders>
              <w:top w:val="single" w:sz="12" w:space="0" w:color="auto"/>
              <w:left w:val="single" w:sz="12" w:space="0" w:color="auto"/>
            </w:tcBorders>
            <w:shd w:val="clear" w:color="auto" w:fill="auto"/>
            <w:vAlign w:val="center"/>
          </w:tcPr>
          <w:p w:rsidR="00B77D2A" w:rsidRPr="00C47712" w:rsidRDefault="008B0A94" w:rsidP="00811347">
            <w:r w:rsidRPr="00C47712">
              <w:rPr>
                <w:b/>
              </w:rPr>
              <w:t>3.</w:t>
            </w:r>
            <w:r w:rsidRPr="00C47712">
              <w:t xml:space="preserve"> Pradinis puslapis lietuvių kalba</w:t>
            </w:r>
            <w:r w:rsidRPr="00C47712">
              <w:rPr>
                <w:b/>
              </w:rPr>
              <w:t xml:space="preserve"> </w:t>
            </w:r>
          </w:p>
        </w:tc>
        <w:tc>
          <w:tcPr>
            <w:tcW w:w="1134" w:type="dxa"/>
            <w:tcBorders>
              <w:top w:val="single" w:sz="12" w:space="0" w:color="auto"/>
            </w:tcBorders>
            <w:shd w:val="clear" w:color="auto" w:fill="auto"/>
            <w:vAlign w:val="center"/>
          </w:tcPr>
          <w:p w:rsidR="00B77D2A" w:rsidRPr="00C47712" w:rsidRDefault="008B0A94" w:rsidP="00811347">
            <w:pPr>
              <w:jc w:val="center"/>
            </w:pPr>
            <w:r>
              <w:t>8</w:t>
            </w:r>
            <w:r w:rsidRPr="00C47712">
              <w:t>443</w:t>
            </w:r>
          </w:p>
        </w:tc>
        <w:tc>
          <w:tcPr>
            <w:tcW w:w="1241" w:type="dxa"/>
            <w:tcBorders>
              <w:top w:val="single" w:sz="12" w:space="0" w:color="auto"/>
              <w:right w:val="single" w:sz="12" w:space="0" w:color="auto"/>
            </w:tcBorders>
            <w:shd w:val="clear" w:color="auto" w:fill="auto"/>
            <w:vAlign w:val="center"/>
          </w:tcPr>
          <w:p w:rsidR="00B77D2A" w:rsidRPr="00C47712" w:rsidRDefault="008B0A94" w:rsidP="00811347">
            <w:pPr>
              <w:jc w:val="center"/>
              <w:rPr>
                <w:b/>
              </w:rPr>
            </w:pPr>
            <w:r w:rsidRPr="00C47712">
              <w:rPr>
                <w:b/>
              </w:rPr>
              <w:t>10 %</w:t>
            </w:r>
          </w:p>
        </w:tc>
      </w:tr>
      <w:tr w:rsidR="00B77D2A" w:rsidRPr="00B77D2A" w:rsidTr="009E2007">
        <w:tc>
          <w:tcPr>
            <w:tcW w:w="2235" w:type="dxa"/>
            <w:tcBorders>
              <w:top w:val="single" w:sz="2" w:space="0" w:color="auto"/>
              <w:left w:val="single" w:sz="12" w:space="0" w:color="auto"/>
              <w:bottom w:val="single" w:sz="12" w:space="0" w:color="auto"/>
              <w:right w:val="single" w:sz="2" w:space="0" w:color="auto"/>
            </w:tcBorders>
            <w:shd w:val="clear" w:color="auto" w:fill="auto"/>
            <w:vAlign w:val="center"/>
          </w:tcPr>
          <w:p w:rsidR="00B77D2A" w:rsidRPr="00C47712" w:rsidRDefault="00B77D2A" w:rsidP="00811347">
            <w:r w:rsidRPr="00C47712">
              <w:rPr>
                <w:b/>
              </w:rPr>
              <w:t>2.</w:t>
            </w:r>
            <w:r w:rsidRPr="00C47712">
              <w:t xml:space="preserve"> Renginiai</w:t>
            </w:r>
          </w:p>
        </w:tc>
        <w:tc>
          <w:tcPr>
            <w:tcW w:w="1134" w:type="dxa"/>
            <w:tcBorders>
              <w:top w:val="single" w:sz="2" w:space="0" w:color="auto"/>
              <w:left w:val="single" w:sz="2" w:space="0" w:color="auto"/>
              <w:bottom w:val="single" w:sz="12" w:space="0" w:color="auto"/>
              <w:right w:val="single" w:sz="2" w:space="0" w:color="auto"/>
            </w:tcBorders>
            <w:shd w:val="clear" w:color="auto" w:fill="auto"/>
            <w:vAlign w:val="center"/>
          </w:tcPr>
          <w:p w:rsidR="00B77D2A" w:rsidRPr="00C47712" w:rsidRDefault="00C47712" w:rsidP="00811347">
            <w:pPr>
              <w:jc w:val="center"/>
            </w:pPr>
            <w:r>
              <w:t>11</w:t>
            </w:r>
            <w:r w:rsidR="00255640" w:rsidRPr="00C47712">
              <w:t>685</w:t>
            </w:r>
          </w:p>
        </w:tc>
        <w:tc>
          <w:tcPr>
            <w:tcW w:w="1275" w:type="dxa"/>
            <w:tcBorders>
              <w:top w:val="single" w:sz="2" w:space="0" w:color="auto"/>
              <w:left w:val="single" w:sz="2" w:space="0" w:color="auto"/>
              <w:bottom w:val="single" w:sz="12" w:space="0" w:color="auto"/>
              <w:right w:val="single" w:sz="12" w:space="0" w:color="auto"/>
            </w:tcBorders>
            <w:shd w:val="clear" w:color="auto" w:fill="auto"/>
            <w:vAlign w:val="center"/>
          </w:tcPr>
          <w:p w:rsidR="00B77D2A" w:rsidRPr="00C47712" w:rsidRDefault="00485891" w:rsidP="00811347">
            <w:pPr>
              <w:jc w:val="center"/>
              <w:rPr>
                <w:b/>
              </w:rPr>
            </w:pPr>
            <w:r w:rsidRPr="00C47712">
              <w:rPr>
                <w:b/>
              </w:rPr>
              <w:t>1</w:t>
            </w:r>
            <w:r w:rsidR="00255640" w:rsidRPr="00C47712">
              <w:rPr>
                <w:b/>
              </w:rPr>
              <w:t>5</w:t>
            </w:r>
            <w:r w:rsidRPr="00C47712">
              <w:rPr>
                <w:b/>
              </w:rPr>
              <w:t xml:space="preserve"> </w:t>
            </w:r>
            <w:r w:rsidR="00B77D2A" w:rsidRPr="00C47712">
              <w:rPr>
                <w:b/>
              </w:rPr>
              <w:t>%</w:t>
            </w:r>
          </w:p>
        </w:tc>
        <w:tc>
          <w:tcPr>
            <w:tcW w:w="2835" w:type="dxa"/>
            <w:tcBorders>
              <w:left w:val="single" w:sz="12" w:space="0" w:color="auto"/>
              <w:bottom w:val="single" w:sz="12" w:space="0" w:color="auto"/>
            </w:tcBorders>
            <w:shd w:val="clear" w:color="auto" w:fill="auto"/>
            <w:vAlign w:val="center"/>
          </w:tcPr>
          <w:p w:rsidR="00B77D2A" w:rsidRPr="00C47712" w:rsidRDefault="008B0A94" w:rsidP="00811347">
            <w:r w:rsidRPr="00C47712">
              <w:rPr>
                <w:b/>
              </w:rPr>
              <w:t>4.</w:t>
            </w:r>
            <w:r w:rsidRPr="00C47712">
              <w:t xml:space="preserve"> Utenos miesto fontanas </w:t>
            </w:r>
            <w:r w:rsidR="00811347">
              <w:t xml:space="preserve">ir </w:t>
            </w:r>
            <w:proofErr w:type="spellStart"/>
            <w:r w:rsidRPr="00C47712">
              <w:t>Dauniškio</w:t>
            </w:r>
            <w:proofErr w:type="spellEnd"/>
            <w:r w:rsidRPr="00C47712">
              <w:t xml:space="preserve"> parkas</w:t>
            </w:r>
            <w:r w:rsidRPr="00C47712">
              <w:rPr>
                <w:b/>
              </w:rPr>
              <w:t xml:space="preserve"> </w:t>
            </w:r>
          </w:p>
        </w:tc>
        <w:tc>
          <w:tcPr>
            <w:tcW w:w="1134" w:type="dxa"/>
            <w:tcBorders>
              <w:bottom w:val="single" w:sz="12" w:space="0" w:color="auto"/>
            </w:tcBorders>
            <w:shd w:val="clear" w:color="auto" w:fill="auto"/>
            <w:vAlign w:val="center"/>
          </w:tcPr>
          <w:p w:rsidR="00B77D2A" w:rsidRPr="00C47712" w:rsidRDefault="008B0A94" w:rsidP="00811347">
            <w:pPr>
              <w:jc w:val="center"/>
            </w:pPr>
            <w:r>
              <w:t>3380</w:t>
            </w:r>
          </w:p>
        </w:tc>
        <w:tc>
          <w:tcPr>
            <w:tcW w:w="1241" w:type="dxa"/>
            <w:tcBorders>
              <w:bottom w:val="single" w:sz="12" w:space="0" w:color="auto"/>
              <w:right w:val="single" w:sz="12" w:space="0" w:color="auto"/>
            </w:tcBorders>
            <w:shd w:val="clear" w:color="auto" w:fill="auto"/>
            <w:vAlign w:val="center"/>
          </w:tcPr>
          <w:p w:rsidR="00B77D2A" w:rsidRPr="00C47712" w:rsidRDefault="008B0A94" w:rsidP="00811347">
            <w:pPr>
              <w:jc w:val="center"/>
              <w:rPr>
                <w:b/>
              </w:rPr>
            </w:pPr>
            <w:r>
              <w:rPr>
                <w:b/>
              </w:rPr>
              <w:t>4</w:t>
            </w:r>
            <w:r w:rsidRPr="00C47712">
              <w:rPr>
                <w:b/>
              </w:rPr>
              <w:t xml:space="preserve"> %</w:t>
            </w:r>
          </w:p>
        </w:tc>
      </w:tr>
      <w:tr w:rsidR="00811347" w:rsidRPr="00B77D2A" w:rsidTr="009E2007">
        <w:tc>
          <w:tcPr>
            <w:tcW w:w="2235" w:type="dxa"/>
            <w:tcBorders>
              <w:top w:val="single" w:sz="12" w:space="0" w:color="auto"/>
              <w:left w:val="single" w:sz="12" w:space="0" w:color="auto"/>
              <w:bottom w:val="single" w:sz="12" w:space="0" w:color="auto"/>
              <w:right w:val="single" w:sz="12" w:space="0" w:color="auto"/>
            </w:tcBorders>
            <w:shd w:val="clear" w:color="auto" w:fill="DBE5F1" w:themeFill="accent1" w:themeFillTint="33"/>
          </w:tcPr>
          <w:p w:rsidR="00201991" w:rsidRPr="00C47712" w:rsidRDefault="00201991" w:rsidP="00811347">
            <w:pPr>
              <w:rPr>
                <w:b/>
              </w:rPr>
            </w:pPr>
            <w:r w:rsidRPr="00C47712">
              <w:rPr>
                <w:b/>
              </w:rPr>
              <w:lastRenderedPageBreak/>
              <w:t>Vidinio puslapio pavadinimas</w:t>
            </w:r>
          </w:p>
        </w:tc>
        <w:tc>
          <w:tcPr>
            <w:tcW w:w="1134" w:type="dxa"/>
            <w:tcBorders>
              <w:top w:val="single" w:sz="12" w:space="0" w:color="auto"/>
              <w:left w:val="single" w:sz="12" w:space="0" w:color="auto"/>
              <w:bottom w:val="single" w:sz="12" w:space="0" w:color="auto"/>
              <w:right w:val="single" w:sz="12" w:space="0" w:color="auto"/>
            </w:tcBorders>
            <w:shd w:val="clear" w:color="auto" w:fill="DBE5F1" w:themeFill="accent1" w:themeFillTint="33"/>
          </w:tcPr>
          <w:p w:rsidR="00201991" w:rsidRPr="00C47712" w:rsidRDefault="00201991" w:rsidP="00811347">
            <w:pPr>
              <w:jc w:val="both"/>
              <w:rPr>
                <w:b/>
              </w:rPr>
            </w:pPr>
            <w:r w:rsidRPr="00C47712">
              <w:rPr>
                <w:b/>
              </w:rPr>
              <w:t>Seansų skaičius</w:t>
            </w:r>
          </w:p>
        </w:tc>
        <w:tc>
          <w:tcPr>
            <w:tcW w:w="1275" w:type="dxa"/>
            <w:tcBorders>
              <w:top w:val="single" w:sz="12" w:space="0" w:color="auto"/>
              <w:left w:val="single" w:sz="12" w:space="0" w:color="auto"/>
              <w:bottom w:val="single" w:sz="12" w:space="0" w:color="auto"/>
              <w:right w:val="single" w:sz="12" w:space="0" w:color="auto"/>
            </w:tcBorders>
            <w:shd w:val="clear" w:color="auto" w:fill="DBE5F1" w:themeFill="accent1" w:themeFillTint="33"/>
          </w:tcPr>
          <w:p w:rsidR="00201991" w:rsidRPr="00C47712" w:rsidRDefault="00201991" w:rsidP="00811347">
            <w:pPr>
              <w:jc w:val="both"/>
              <w:rPr>
                <w:b/>
              </w:rPr>
            </w:pPr>
            <w:r w:rsidRPr="00C47712">
              <w:rPr>
                <w:b/>
              </w:rPr>
              <w:t>Procentai</w:t>
            </w:r>
          </w:p>
        </w:tc>
        <w:tc>
          <w:tcPr>
            <w:tcW w:w="2835" w:type="dxa"/>
            <w:tcBorders>
              <w:top w:val="single" w:sz="12" w:space="0" w:color="auto"/>
              <w:left w:val="single" w:sz="12" w:space="0" w:color="auto"/>
              <w:bottom w:val="single" w:sz="12" w:space="0" w:color="auto"/>
              <w:right w:val="single" w:sz="12" w:space="0" w:color="auto"/>
            </w:tcBorders>
            <w:shd w:val="clear" w:color="auto" w:fill="DBE5F1" w:themeFill="accent1" w:themeFillTint="33"/>
          </w:tcPr>
          <w:p w:rsidR="00201991" w:rsidRPr="00C47712" w:rsidRDefault="00201991" w:rsidP="00811347">
            <w:pPr>
              <w:rPr>
                <w:b/>
              </w:rPr>
            </w:pPr>
            <w:r w:rsidRPr="00C47712">
              <w:rPr>
                <w:b/>
              </w:rPr>
              <w:t>Vidinio puslapio pavadinimas</w:t>
            </w:r>
          </w:p>
        </w:tc>
        <w:tc>
          <w:tcPr>
            <w:tcW w:w="1134" w:type="dxa"/>
            <w:tcBorders>
              <w:top w:val="single" w:sz="12" w:space="0" w:color="auto"/>
              <w:left w:val="single" w:sz="12" w:space="0" w:color="auto"/>
              <w:bottom w:val="single" w:sz="12" w:space="0" w:color="auto"/>
              <w:right w:val="single" w:sz="12" w:space="0" w:color="auto"/>
            </w:tcBorders>
            <w:shd w:val="clear" w:color="auto" w:fill="DBE5F1" w:themeFill="accent1" w:themeFillTint="33"/>
          </w:tcPr>
          <w:p w:rsidR="00201991" w:rsidRPr="00C47712" w:rsidRDefault="00201991" w:rsidP="00811347">
            <w:pPr>
              <w:jc w:val="both"/>
              <w:rPr>
                <w:b/>
              </w:rPr>
            </w:pPr>
            <w:r w:rsidRPr="00C47712">
              <w:rPr>
                <w:b/>
              </w:rPr>
              <w:t>Seansų skaičius</w:t>
            </w:r>
          </w:p>
        </w:tc>
        <w:tc>
          <w:tcPr>
            <w:tcW w:w="1241" w:type="dxa"/>
            <w:tcBorders>
              <w:top w:val="single" w:sz="12" w:space="0" w:color="auto"/>
              <w:left w:val="single" w:sz="12" w:space="0" w:color="auto"/>
              <w:bottom w:val="single" w:sz="12" w:space="0" w:color="auto"/>
              <w:right w:val="single" w:sz="12" w:space="0" w:color="auto"/>
            </w:tcBorders>
            <w:shd w:val="clear" w:color="auto" w:fill="DBE5F1" w:themeFill="accent1" w:themeFillTint="33"/>
          </w:tcPr>
          <w:p w:rsidR="00201991" w:rsidRPr="00C47712" w:rsidRDefault="00201991" w:rsidP="00811347">
            <w:pPr>
              <w:jc w:val="both"/>
              <w:rPr>
                <w:b/>
              </w:rPr>
            </w:pPr>
            <w:r w:rsidRPr="00C47712">
              <w:rPr>
                <w:b/>
              </w:rPr>
              <w:t xml:space="preserve">Procentai </w:t>
            </w:r>
          </w:p>
        </w:tc>
      </w:tr>
      <w:tr w:rsidR="00B77D2A" w:rsidRPr="00B77D2A" w:rsidTr="009E2007">
        <w:tc>
          <w:tcPr>
            <w:tcW w:w="2235" w:type="dxa"/>
            <w:tcBorders>
              <w:top w:val="single" w:sz="2" w:space="0" w:color="auto"/>
              <w:left w:val="single" w:sz="12" w:space="0" w:color="auto"/>
              <w:bottom w:val="single" w:sz="2" w:space="0" w:color="auto"/>
              <w:right w:val="single" w:sz="2" w:space="0" w:color="auto"/>
            </w:tcBorders>
            <w:shd w:val="clear" w:color="auto" w:fill="auto"/>
            <w:vAlign w:val="center"/>
          </w:tcPr>
          <w:p w:rsidR="00B77D2A" w:rsidRPr="00C47712" w:rsidRDefault="008B0A94" w:rsidP="00811347">
            <w:r w:rsidRPr="00C47712">
              <w:rPr>
                <w:b/>
              </w:rPr>
              <w:t>5.</w:t>
            </w:r>
            <w:r w:rsidRPr="00C47712">
              <w:t xml:space="preserve"> Raganų muziejus</w:t>
            </w:r>
          </w:p>
        </w:tc>
        <w:tc>
          <w:tcPr>
            <w:tcW w:w="1134" w:type="dxa"/>
            <w:tcBorders>
              <w:top w:val="single" w:sz="2" w:space="0" w:color="auto"/>
              <w:left w:val="single" w:sz="2" w:space="0" w:color="auto"/>
              <w:bottom w:val="single" w:sz="2" w:space="0" w:color="auto"/>
              <w:right w:val="single" w:sz="2" w:space="0" w:color="auto"/>
            </w:tcBorders>
            <w:shd w:val="clear" w:color="auto" w:fill="auto"/>
            <w:vAlign w:val="center"/>
          </w:tcPr>
          <w:p w:rsidR="00B77D2A" w:rsidRPr="00C47712" w:rsidRDefault="008B0A94" w:rsidP="00811347">
            <w:pPr>
              <w:jc w:val="center"/>
            </w:pPr>
            <w:r>
              <w:t>1</w:t>
            </w:r>
            <w:r w:rsidRPr="00C47712">
              <w:t>600</w:t>
            </w:r>
          </w:p>
        </w:tc>
        <w:tc>
          <w:tcPr>
            <w:tcW w:w="1275" w:type="dxa"/>
            <w:tcBorders>
              <w:top w:val="single" w:sz="2" w:space="0" w:color="auto"/>
              <w:left w:val="single" w:sz="2" w:space="0" w:color="auto"/>
              <w:bottom w:val="single" w:sz="2" w:space="0" w:color="auto"/>
              <w:right w:val="single" w:sz="12" w:space="0" w:color="auto"/>
            </w:tcBorders>
            <w:shd w:val="clear" w:color="auto" w:fill="auto"/>
            <w:vAlign w:val="center"/>
          </w:tcPr>
          <w:p w:rsidR="00B77D2A" w:rsidRPr="00C47712" w:rsidRDefault="008B0A94" w:rsidP="00811347">
            <w:pPr>
              <w:jc w:val="center"/>
              <w:rPr>
                <w:b/>
              </w:rPr>
            </w:pPr>
            <w:r w:rsidRPr="00C47712">
              <w:rPr>
                <w:b/>
              </w:rPr>
              <w:t>2 %</w:t>
            </w:r>
          </w:p>
        </w:tc>
        <w:tc>
          <w:tcPr>
            <w:tcW w:w="2835" w:type="dxa"/>
            <w:tcBorders>
              <w:left w:val="single" w:sz="12" w:space="0" w:color="auto"/>
            </w:tcBorders>
            <w:shd w:val="clear" w:color="auto" w:fill="auto"/>
            <w:vAlign w:val="center"/>
          </w:tcPr>
          <w:p w:rsidR="00B77D2A" w:rsidRPr="00C47712" w:rsidRDefault="00C47712" w:rsidP="00811347">
            <w:r w:rsidRPr="00C47712">
              <w:rPr>
                <w:b/>
              </w:rPr>
              <w:t>9.</w:t>
            </w:r>
            <w:r w:rsidRPr="00C47712">
              <w:t xml:space="preserve"> </w:t>
            </w:r>
            <w:r>
              <w:t>Ką veikti / p</w:t>
            </w:r>
            <w:r w:rsidRPr="00C47712">
              <w:t>ramogos</w:t>
            </w:r>
            <w:r>
              <w:t xml:space="preserve"> </w:t>
            </w:r>
          </w:p>
        </w:tc>
        <w:tc>
          <w:tcPr>
            <w:tcW w:w="1134" w:type="dxa"/>
            <w:shd w:val="clear" w:color="auto" w:fill="auto"/>
            <w:vAlign w:val="center"/>
          </w:tcPr>
          <w:p w:rsidR="00B77D2A" w:rsidRPr="00C47712" w:rsidRDefault="00C47712" w:rsidP="00811347">
            <w:pPr>
              <w:jc w:val="center"/>
            </w:pPr>
            <w:r w:rsidRPr="00C47712">
              <w:t>780</w:t>
            </w:r>
          </w:p>
        </w:tc>
        <w:tc>
          <w:tcPr>
            <w:tcW w:w="1241" w:type="dxa"/>
            <w:tcBorders>
              <w:right w:val="single" w:sz="12" w:space="0" w:color="auto"/>
            </w:tcBorders>
            <w:shd w:val="clear" w:color="auto" w:fill="auto"/>
            <w:vAlign w:val="center"/>
          </w:tcPr>
          <w:p w:rsidR="00B77D2A" w:rsidRPr="00C47712" w:rsidRDefault="00C47712" w:rsidP="00811347">
            <w:pPr>
              <w:jc w:val="center"/>
              <w:rPr>
                <w:b/>
              </w:rPr>
            </w:pPr>
            <w:r w:rsidRPr="00C47712">
              <w:rPr>
                <w:b/>
              </w:rPr>
              <w:t>1 %</w:t>
            </w:r>
          </w:p>
        </w:tc>
      </w:tr>
      <w:tr w:rsidR="00B77D2A" w:rsidRPr="00B77D2A" w:rsidTr="009E2007">
        <w:tc>
          <w:tcPr>
            <w:tcW w:w="2235" w:type="dxa"/>
            <w:tcBorders>
              <w:top w:val="single" w:sz="2" w:space="0" w:color="auto"/>
              <w:left w:val="single" w:sz="12" w:space="0" w:color="auto"/>
              <w:bottom w:val="single" w:sz="2" w:space="0" w:color="auto"/>
              <w:right w:val="single" w:sz="2" w:space="0" w:color="auto"/>
            </w:tcBorders>
            <w:shd w:val="clear" w:color="auto" w:fill="auto"/>
            <w:vAlign w:val="center"/>
          </w:tcPr>
          <w:p w:rsidR="00B77D2A" w:rsidRPr="00C47712" w:rsidRDefault="008B0A94" w:rsidP="00811347">
            <w:r w:rsidRPr="00C47712">
              <w:rPr>
                <w:b/>
              </w:rPr>
              <w:t>6.</w:t>
            </w:r>
            <w:r w:rsidRPr="00C47712">
              <w:t xml:space="preserve"> </w:t>
            </w:r>
            <w:r>
              <w:t>Renginiai / š</w:t>
            </w:r>
            <w:r w:rsidRPr="00C47712">
              <w:t>ventės, minėjimai</w:t>
            </w:r>
          </w:p>
        </w:tc>
        <w:tc>
          <w:tcPr>
            <w:tcW w:w="1134" w:type="dxa"/>
            <w:tcBorders>
              <w:top w:val="single" w:sz="2" w:space="0" w:color="auto"/>
              <w:left w:val="single" w:sz="2" w:space="0" w:color="auto"/>
              <w:bottom w:val="single" w:sz="2" w:space="0" w:color="auto"/>
              <w:right w:val="single" w:sz="2" w:space="0" w:color="auto"/>
            </w:tcBorders>
            <w:shd w:val="clear" w:color="auto" w:fill="auto"/>
            <w:vAlign w:val="center"/>
          </w:tcPr>
          <w:p w:rsidR="0038315E" w:rsidRDefault="0038315E" w:rsidP="00811347">
            <w:pPr>
              <w:jc w:val="center"/>
            </w:pPr>
          </w:p>
          <w:p w:rsidR="008B0A94" w:rsidRPr="00C47712" w:rsidRDefault="008B0A94" w:rsidP="00811347">
            <w:pPr>
              <w:jc w:val="center"/>
            </w:pPr>
            <w:r>
              <w:t>1</w:t>
            </w:r>
            <w:r w:rsidRPr="00C47712">
              <w:t>386</w:t>
            </w:r>
          </w:p>
          <w:p w:rsidR="00B77D2A" w:rsidRPr="00C47712" w:rsidRDefault="00B77D2A" w:rsidP="00811347">
            <w:pPr>
              <w:jc w:val="center"/>
            </w:pPr>
          </w:p>
        </w:tc>
        <w:tc>
          <w:tcPr>
            <w:tcW w:w="1275" w:type="dxa"/>
            <w:tcBorders>
              <w:top w:val="single" w:sz="2" w:space="0" w:color="auto"/>
              <w:left w:val="single" w:sz="2" w:space="0" w:color="auto"/>
              <w:bottom w:val="single" w:sz="2" w:space="0" w:color="auto"/>
              <w:right w:val="single" w:sz="12" w:space="0" w:color="auto"/>
            </w:tcBorders>
            <w:shd w:val="clear" w:color="auto" w:fill="auto"/>
            <w:vAlign w:val="center"/>
          </w:tcPr>
          <w:p w:rsidR="00B77D2A" w:rsidRPr="00C47712" w:rsidRDefault="008B0A94" w:rsidP="00811347">
            <w:pPr>
              <w:jc w:val="center"/>
              <w:rPr>
                <w:b/>
              </w:rPr>
            </w:pPr>
            <w:r w:rsidRPr="00C47712">
              <w:rPr>
                <w:b/>
              </w:rPr>
              <w:t>2 %</w:t>
            </w:r>
          </w:p>
        </w:tc>
        <w:tc>
          <w:tcPr>
            <w:tcW w:w="2835" w:type="dxa"/>
            <w:tcBorders>
              <w:left w:val="single" w:sz="12" w:space="0" w:color="auto"/>
            </w:tcBorders>
            <w:shd w:val="clear" w:color="auto" w:fill="auto"/>
            <w:vAlign w:val="center"/>
          </w:tcPr>
          <w:p w:rsidR="00B77D2A" w:rsidRPr="00C47712" w:rsidRDefault="00C47712" w:rsidP="00811347">
            <w:r w:rsidRPr="00C47712">
              <w:rPr>
                <w:b/>
              </w:rPr>
              <w:t>10.</w:t>
            </w:r>
            <w:r w:rsidRPr="00C47712">
              <w:t xml:space="preserve"> Poilsinė kelionė į Ventspilį </w:t>
            </w:r>
            <w:r>
              <w:t xml:space="preserve">2020 m. </w:t>
            </w:r>
            <w:r w:rsidRPr="00C47712">
              <w:t>liepos 1</w:t>
            </w:r>
            <w:r w:rsidR="00BB4D11">
              <w:t>0</w:t>
            </w:r>
            <w:r w:rsidRPr="00C47712">
              <w:t>-12 d.</w:t>
            </w:r>
          </w:p>
        </w:tc>
        <w:tc>
          <w:tcPr>
            <w:tcW w:w="1134" w:type="dxa"/>
            <w:shd w:val="clear" w:color="auto" w:fill="auto"/>
            <w:vAlign w:val="center"/>
          </w:tcPr>
          <w:p w:rsidR="00B77D2A" w:rsidRPr="00C47712" w:rsidRDefault="00C47712" w:rsidP="00811347">
            <w:pPr>
              <w:jc w:val="center"/>
            </w:pPr>
            <w:r w:rsidRPr="00C47712">
              <w:t>648</w:t>
            </w:r>
          </w:p>
        </w:tc>
        <w:tc>
          <w:tcPr>
            <w:tcW w:w="1241" w:type="dxa"/>
            <w:tcBorders>
              <w:right w:val="single" w:sz="12" w:space="0" w:color="auto"/>
            </w:tcBorders>
            <w:shd w:val="clear" w:color="auto" w:fill="auto"/>
            <w:vAlign w:val="center"/>
          </w:tcPr>
          <w:p w:rsidR="00B77D2A" w:rsidRPr="00C47712" w:rsidRDefault="00C47712" w:rsidP="00811347">
            <w:pPr>
              <w:jc w:val="center"/>
              <w:rPr>
                <w:b/>
              </w:rPr>
            </w:pPr>
            <w:r w:rsidRPr="00C47712">
              <w:rPr>
                <w:b/>
              </w:rPr>
              <w:t>0,8 %</w:t>
            </w:r>
          </w:p>
        </w:tc>
      </w:tr>
      <w:tr w:rsidR="00B77D2A" w:rsidRPr="00B77D2A" w:rsidTr="009E2007">
        <w:tc>
          <w:tcPr>
            <w:tcW w:w="2235" w:type="dxa"/>
            <w:tcBorders>
              <w:top w:val="single" w:sz="2" w:space="0" w:color="auto"/>
              <w:left w:val="single" w:sz="12" w:space="0" w:color="auto"/>
              <w:bottom w:val="single" w:sz="2" w:space="0" w:color="auto"/>
              <w:right w:val="single" w:sz="2" w:space="0" w:color="auto"/>
            </w:tcBorders>
            <w:shd w:val="clear" w:color="auto" w:fill="auto"/>
            <w:vAlign w:val="center"/>
          </w:tcPr>
          <w:p w:rsidR="00B77D2A" w:rsidRPr="00C47712" w:rsidRDefault="008B0A94" w:rsidP="00811347">
            <w:r w:rsidRPr="00C47712">
              <w:rPr>
                <w:b/>
              </w:rPr>
              <w:t>7.</w:t>
            </w:r>
            <w:r>
              <w:t xml:space="preserve"> Ekskursija į Biržus</w:t>
            </w:r>
            <w:r w:rsidR="00811347">
              <w:t xml:space="preserve"> </w:t>
            </w:r>
            <w:r w:rsidR="00811347" w:rsidRPr="00BB4D11">
              <w:t>2020 m. liepos 19 d.</w:t>
            </w:r>
          </w:p>
        </w:tc>
        <w:tc>
          <w:tcPr>
            <w:tcW w:w="1134" w:type="dxa"/>
            <w:tcBorders>
              <w:top w:val="single" w:sz="2" w:space="0" w:color="auto"/>
              <w:left w:val="single" w:sz="2" w:space="0" w:color="auto"/>
              <w:bottom w:val="single" w:sz="2" w:space="0" w:color="auto"/>
              <w:right w:val="single" w:sz="2" w:space="0" w:color="auto"/>
            </w:tcBorders>
            <w:shd w:val="clear" w:color="auto" w:fill="auto"/>
            <w:vAlign w:val="center"/>
          </w:tcPr>
          <w:p w:rsidR="00B77D2A" w:rsidRPr="00C47712" w:rsidRDefault="008B0A94" w:rsidP="00811347">
            <w:pPr>
              <w:jc w:val="center"/>
            </w:pPr>
            <w:r w:rsidRPr="00C47712">
              <w:t>167</w:t>
            </w:r>
          </w:p>
        </w:tc>
        <w:tc>
          <w:tcPr>
            <w:tcW w:w="1275" w:type="dxa"/>
            <w:tcBorders>
              <w:top w:val="single" w:sz="2" w:space="0" w:color="auto"/>
              <w:left w:val="single" w:sz="2" w:space="0" w:color="auto"/>
              <w:bottom w:val="single" w:sz="2" w:space="0" w:color="auto"/>
              <w:right w:val="single" w:sz="12" w:space="0" w:color="auto"/>
            </w:tcBorders>
            <w:shd w:val="clear" w:color="auto" w:fill="auto"/>
            <w:vAlign w:val="center"/>
          </w:tcPr>
          <w:p w:rsidR="00B77D2A" w:rsidRPr="00C47712" w:rsidRDefault="008B0A94" w:rsidP="00811347">
            <w:pPr>
              <w:jc w:val="center"/>
              <w:rPr>
                <w:b/>
              </w:rPr>
            </w:pPr>
            <w:r w:rsidRPr="00C47712">
              <w:rPr>
                <w:b/>
              </w:rPr>
              <w:t>2 %</w:t>
            </w:r>
          </w:p>
        </w:tc>
        <w:tc>
          <w:tcPr>
            <w:tcW w:w="2835" w:type="dxa"/>
            <w:tcBorders>
              <w:left w:val="single" w:sz="12" w:space="0" w:color="auto"/>
            </w:tcBorders>
            <w:shd w:val="clear" w:color="auto" w:fill="auto"/>
            <w:vAlign w:val="center"/>
          </w:tcPr>
          <w:p w:rsidR="00B77D2A" w:rsidRPr="00C47712" w:rsidRDefault="00C47712" w:rsidP="00811347">
            <w:r w:rsidRPr="00C47712">
              <w:rPr>
                <w:b/>
              </w:rPr>
              <w:t>11.</w:t>
            </w:r>
            <w:r w:rsidRPr="00C47712">
              <w:t xml:space="preserve"> Kontaktai</w:t>
            </w:r>
          </w:p>
        </w:tc>
        <w:tc>
          <w:tcPr>
            <w:tcW w:w="1134" w:type="dxa"/>
            <w:shd w:val="clear" w:color="auto" w:fill="auto"/>
            <w:vAlign w:val="center"/>
          </w:tcPr>
          <w:p w:rsidR="00B77D2A" w:rsidRPr="00C47712" w:rsidRDefault="00C47712" w:rsidP="00811347">
            <w:pPr>
              <w:jc w:val="center"/>
            </w:pPr>
            <w:r w:rsidRPr="00C47712">
              <w:t>622</w:t>
            </w:r>
          </w:p>
        </w:tc>
        <w:tc>
          <w:tcPr>
            <w:tcW w:w="1241" w:type="dxa"/>
            <w:tcBorders>
              <w:right w:val="single" w:sz="12" w:space="0" w:color="auto"/>
            </w:tcBorders>
            <w:shd w:val="clear" w:color="auto" w:fill="auto"/>
            <w:vAlign w:val="center"/>
          </w:tcPr>
          <w:p w:rsidR="00B77D2A" w:rsidRPr="00C47712" w:rsidRDefault="00C47712" w:rsidP="00811347">
            <w:pPr>
              <w:jc w:val="center"/>
              <w:rPr>
                <w:b/>
              </w:rPr>
            </w:pPr>
            <w:r w:rsidRPr="00C47712">
              <w:rPr>
                <w:b/>
              </w:rPr>
              <w:t>0,8 %</w:t>
            </w:r>
          </w:p>
        </w:tc>
      </w:tr>
      <w:tr w:rsidR="00B77D2A" w:rsidRPr="00B77D2A" w:rsidTr="009E2007">
        <w:tc>
          <w:tcPr>
            <w:tcW w:w="2235" w:type="dxa"/>
            <w:tcBorders>
              <w:top w:val="single" w:sz="2" w:space="0" w:color="auto"/>
              <w:left w:val="single" w:sz="12" w:space="0" w:color="auto"/>
              <w:bottom w:val="single" w:sz="12" w:space="0" w:color="auto"/>
              <w:right w:val="single" w:sz="2" w:space="0" w:color="auto"/>
            </w:tcBorders>
            <w:shd w:val="clear" w:color="auto" w:fill="auto"/>
            <w:vAlign w:val="center"/>
          </w:tcPr>
          <w:p w:rsidR="00B77D2A" w:rsidRPr="00C47712" w:rsidRDefault="005E2C35" w:rsidP="00811347">
            <w:r w:rsidRPr="00C47712">
              <w:rPr>
                <w:b/>
              </w:rPr>
              <w:t>8.</w:t>
            </w:r>
            <w:r w:rsidRPr="00C47712">
              <w:t xml:space="preserve"> </w:t>
            </w:r>
            <w:r>
              <w:t xml:space="preserve">Renginiai / </w:t>
            </w:r>
            <w:r w:rsidRPr="00C47712">
              <w:t>koncertai</w:t>
            </w:r>
          </w:p>
        </w:tc>
        <w:tc>
          <w:tcPr>
            <w:tcW w:w="1134" w:type="dxa"/>
            <w:tcBorders>
              <w:top w:val="single" w:sz="2" w:space="0" w:color="auto"/>
              <w:left w:val="single" w:sz="2" w:space="0" w:color="auto"/>
              <w:bottom w:val="single" w:sz="12" w:space="0" w:color="auto"/>
              <w:right w:val="single" w:sz="2" w:space="0" w:color="auto"/>
            </w:tcBorders>
            <w:shd w:val="clear" w:color="auto" w:fill="auto"/>
            <w:vAlign w:val="center"/>
          </w:tcPr>
          <w:p w:rsidR="00B77D2A" w:rsidRPr="00C47712" w:rsidRDefault="005E2C35" w:rsidP="00811347">
            <w:pPr>
              <w:jc w:val="center"/>
            </w:pPr>
            <w:r w:rsidRPr="00C47712">
              <w:t>806</w:t>
            </w:r>
          </w:p>
        </w:tc>
        <w:tc>
          <w:tcPr>
            <w:tcW w:w="1275" w:type="dxa"/>
            <w:tcBorders>
              <w:top w:val="single" w:sz="2" w:space="0" w:color="auto"/>
              <w:left w:val="single" w:sz="2" w:space="0" w:color="auto"/>
              <w:bottom w:val="single" w:sz="12" w:space="0" w:color="auto"/>
              <w:right w:val="single" w:sz="12" w:space="0" w:color="auto"/>
            </w:tcBorders>
            <w:shd w:val="clear" w:color="auto" w:fill="auto"/>
            <w:vAlign w:val="center"/>
          </w:tcPr>
          <w:p w:rsidR="00B77D2A" w:rsidRPr="00C47712" w:rsidRDefault="005E2C35" w:rsidP="00811347">
            <w:pPr>
              <w:jc w:val="center"/>
              <w:rPr>
                <w:b/>
              </w:rPr>
            </w:pPr>
            <w:r w:rsidRPr="00C47712">
              <w:rPr>
                <w:b/>
              </w:rPr>
              <w:t>1 %</w:t>
            </w:r>
          </w:p>
        </w:tc>
        <w:tc>
          <w:tcPr>
            <w:tcW w:w="2835" w:type="dxa"/>
            <w:tcBorders>
              <w:left w:val="single" w:sz="12" w:space="0" w:color="auto"/>
              <w:bottom w:val="single" w:sz="12" w:space="0" w:color="auto"/>
            </w:tcBorders>
            <w:shd w:val="clear" w:color="auto" w:fill="auto"/>
            <w:vAlign w:val="center"/>
          </w:tcPr>
          <w:p w:rsidR="00B77D2A" w:rsidRPr="00C47712" w:rsidRDefault="00C47712" w:rsidP="00811347">
            <w:r w:rsidRPr="00C47712">
              <w:rPr>
                <w:b/>
              </w:rPr>
              <w:t>12.</w:t>
            </w:r>
            <w:r w:rsidRPr="00C47712">
              <w:t xml:space="preserve"> Renginiai / spektakliai</w:t>
            </w:r>
          </w:p>
        </w:tc>
        <w:tc>
          <w:tcPr>
            <w:tcW w:w="1134" w:type="dxa"/>
            <w:tcBorders>
              <w:bottom w:val="single" w:sz="12" w:space="0" w:color="auto"/>
            </w:tcBorders>
            <w:shd w:val="clear" w:color="auto" w:fill="auto"/>
            <w:vAlign w:val="center"/>
          </w:tcPr>
          <w:p w:rsidR="00B77D2A" w:rsidRPr="00C47712" w:rsidRDefault="00C47712" w:rsidP="00811347">
            <w:pPr>
              <w:jc w:val="center"/>
            </w:pPr>
            <w:r w:rsidRPr="00C47712">
              <w:t>583</w:t>
            </w:r>
          </w:p>
        </w:tc>
        <w:tc>
          <w:tcPr>
            <w:tcW w:w="1241" w:type="dxa"/>
            <w:tcBorders>
              <w:bottom w:val="single" w:sz="12" w:space="0" w:color="auto"/>
              <w:right w:val="single" w:sz="12" w:space="0" w:color="auto"/>
            </w:tcBorders>
            <w:shd w:val="clear" w:color="auto" w:fill="auto"/>
            <w:vAlign w:val="center"/>
          </w:tcPr>
          <w:p w:rsidR="00B77D2A" w:rsidRPr="00C47712" w:rsidRDefault="00C47712" w:rsidP="00811347">
            <w:pPr>
              <w:jc w:val="center"/>
              <w:rPr>
                <w:b/>
              </w:rPr>
            </w:pPr>
            <w:r w:rsidRPr="00C47712">
              <w:rPr>
                <w:b/>
              </w:rPr>
              <w:t>0,7 %</w:t>
            </w:r>
          </w:p>
        </w:tc>
      </w:tr>
    </w:tbl>
    <w:p w:rsidR="00B77D2A" w:rsidRDefault="00B77D2A" w:rsidP="00811347"/>
    <w:p w:rsidR="002C503C" w:rsidRPr="00B77D2A" w:rsidRDefault="002C503C" w:rsidP="00811347">
      <w:pPr>
        <w:jc w:val="both"/>
      </w:pPr>
      <w:r w:rsidRPr="00B77D2A">
        <w:t xml:space="preserve">Lentelėje Nr. </w:t>
      </w:r>
      <w:r>
        <w:t>2</w:t>
      </w:r>
      <w:r w:rsidRPr="00B77D2A">
        <w:t xml:space="preserve"> pateikiama informacija apie labiausiai lankomus vidinius svetainės </w:t>
      </w:r>
      <w:hyperlink r:id="rId18" w:history="1">
        <w:r w:rsidRPr="00B77D2A">
          <w:t>www.utenainfo.lt</w:t>
        </w:r>
      </w:hyperlink>
      <w:r w:rsidRPr="00B77D2A">
        <w:t xml:space="preserve"> puslapius, t.y. puslapius, kurių prisijungimo se</w:t>
      </w:r>
      <w:r>
        <w:t>ansai viršija 500 kartų per 20</w:t>
      </w:r>
      <w:r w:rsidR="00312FFB">
        <w:t>20</w:t>
      </w:r>
      <w:r w:rsidRPr="00B77D2A">
        <w:t xml:space="preserve"> m.</w:t>
      </w:r>
    </w:p>
    <w:p w:rsidR="00B77D2A" w:rsidRDefault="00B77D2A" w:rsidP="00022E9D"/>
    <w:p w:rsidR="00B77D2A" w:rsidRDefault="00B77D2A" w:rsidP="00236A9F"/>
    <w:p w:rsidR="002C503C" w:rsidRPr="009E2007" w:rsidRDefault="004F2DA8" w:rsidP="00236A9F">
      <w:pPr>
        <w:jc w:val="center"/>
        <w:rPr>
          <w:b/>
          <w:sz w:val="26"/>
          <w:szCs w:val="26"/>
        </w:rPr>
      </w:pPr>
      <w:r w:rsidRPr="009E2007">
        <w:rPr>
          <w:b/>
          <w:sz w:val="26"/>
          <w:szCs w:val="26"/>
        </w:rPr>
        <w:t>LANKYTINŲ OBJEKTŲ UTENOS MIESTE IR RAJONE LANKYTOJŲ STATISTIKA</w:t>
      </w:r>
    </w:p>
    <w:p w:rsidR="00236A9F" w:rsidRDefault="00236A9F" w:rsidP="00236A9F">
      <w:pPr>
        <w:pStyle w:val="Antrat1"/>
        <w:spacing w:before="0" w:beforeAutospacing="0" w:after="0" w:afterAutospacing="0"/>
        <w:ind w:firstLine="1296"/>
        <w:jc w:val="both"/>
        <w:rPr>
          <w:b w:val="0"/>
          <w:sz w:val="24"/>
          <w:szCs w:val="24"/>
        </w:rPr>
      </w:pPr>
    </w:p>
    <w:p w:rsidR="00236A9F" w:rsidRDefault="00260B13" w:rsidP="00236A9F">
      <w:pPr>
        <w:pStyle w:val="Antrat1"/>
        <w:spacing w:before="0" w:beforeAutospacing="0" w:after="0" w:afterAutospacing="0"/>
        <w:ind w:firstLine="1296"/>
        <w:jc w:val="both"/>
        <w:rPr>
          <w:b w:val="0"/>
          <w:sz w:val="24"/>
          <w:szCs w:val="24"/>
        </w:rPr>
      </w:pPr>
      <w:r>
        <w:rPr>
          <w:b w:val="0"/>
          <w:sz w:val="24"/>
          <w:szCs w:val="24"/>
        </w:rPr>
        <w:t xml:space="preserve">Iš lankytinų objektų (muziejų, amatų centrų ir pan.) 2020 m. daugiausia lankytojų sulaukė </w:t>
      </w:r>
      <w:r w:rsidR="00236A9F">
        <w:rPr>
          <w:b w:val="0"/>
          <w:sz w:val="24"/>
          <w:szCs w:val="24"/>
        </w:rPr>
        <w:t>„Triušiukų slėnis“</w:t>
      </w:r>
      <w:r w:rsidR="004F2DA8">
        <w:rPr>
          <w:b w:val="0"/>
          <w:sz w:val="24"/>
          <w:szCs w:val="24"/>
        </w:rPr>
        <w:t xml:space="preserve"> </w:t>
      </w:r>
      <w:r w:rsidR="004F2DA8" w:rsidRPr="00AE74AB">
        <w:rPr>
          <w:b w:val="0"/>
          <w:sz w:val="24"/>
          <w:szCs w:val="24"/>
        </w:rPr>
        <w:t>(</w:t>
      </w:r>
      <w:proofErr w:type="spellStart"/>
      <w:r w:rsidR="004F2DA8" w:rsidRPr="00AE74AB">
        <w:rPr>
          <w:b w:val="0"/>
          <w:sz w:val="24"/>
          <w:szCs w:val="24"/>
        </w:rPr>
        <w:t>Antalamėstės</w:t>
      </w:r>
      <w:proofErr w:type="spellEnd"/>
      <w:r w:rsidR="004F2DA8" w:rsidRPr="00AE74AB">
        <w:rPr>
          <w:b w:val="0"/>
          <w:sz w:val="24"/>
          <w:szCs w:val="24"/>
        </w:rPr>
        <w:t xml:space="preserve"> k., Saldutiškio sen.)</w:t>
      </w:r>
      <w:r w:rsidR="004F2DA8">
        <w:rPr>
          <w:b w:val="0"/>
          <w:sz w:val="24"/>
          <w:szCs w:val="24"/>
        </w:rPr>
        <w:t>. –</w:t>
      </w:r>
      <w:r w:rsidR="00236A9F">
        <w:rPr>
          <w:b w:val="0"/>
          <w:sz w:val="24"/>
          <w:szCs w:val="24"/>
        </w:rPr>
        <w:t xml:space="preserve"> </w:t>
      </w:r>
      <w:r w:rsidR="004F2DA8">
        <w:rPr>
          <w:b w:val="0"/>
          <w:sz w:val="24"/>
          <w:szCs w:val="24"/>
        </w:rPr>
        <w:t>5871 lankytojas (žr. 9 pav.).</w:t>
      </w:r>
    </w:p>
    <w:p w:rsidR="007449C9" w:rsidRDefault="007449C9" w:rsidP="00236A9F">
      <w:pPr>
        <w:pStyle w:val="Antrat1"/>
        <w:spacing w:before="0" w:beforeAutospacing="0" w:after="0" w:afterAutospacing="0"/>
        <w:ind w:firstLine="1296"/>
        <w:jc w:val="both"/>
        <w:rPr>
          <w:b w:val="0"/>
          <w:sz w:val="24"/>
          <w:szCs w:val="24"/>
        </w:rPr>
      </w:pPr>
    </w:p>
    <w:p w:rsidR="00236A9F" w:rsidRDefault="007449C9" w:rsidP="007449C9">
      <w:pPr>
        <w:pStyle w:val="Antrat1"/>
        <w:spacing w:before="0" w:beforeAutospacing="0" w:after="0" w:afterAutospacing="0"/>
        <w:jc w:val="both"/>
        <w:rPr>
          <w:b w:val="0"/>
          <w:sz w:val="24"/>
          <w:szCs w:val="24"/>
        </w:rPr>
      </w:pPr>
      <w:r>
        <w:rPr>
          <w:noProof/>
        </w:rPr>
        <w:drawing>
          <wp:inline distT="0" distB="0" distL="0" distR="0" wp14:anchorId="2540EFEC" wp14:editId="138C80BE">
            <wp:extent cx="6299835" cy="4014155"/>
            <wp:effectExtent l="0" t="0" r="24765" b="24765"/>
            <wp:docPr id="5" name="Diagrama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236A9F" w:rsidRDefault="00236A9F" w:rsidP="00236A9F">
      <w:pPr>
        <w:jc w:val="center"/>
      </w:pPr>
      <w:r>
        <w:rPr>
          <w:b/>
        </w:rPr>
        <w:t>9</w:t>
      </w:r>
      <w:r w:rsidRPr="00AF3AD0">
        <w:rPr>
          <w:b/>
        </w:rPr>
        <w:t xml:space="preserve"> pav.</w:t>
      </w:r>
      <w:r w:rsidRPr="00AF3AD0">
        <w:t xml:space="preserve"> </w:t>
      </w:r>
      <w:r>
        <w:t>20</w:t>
      </w:r>
      <w:r w:rsidR="004F2DA8">
        <w:t>20</w:t>
      </w:r>
      <w:r>
        <w:t xml:space="preserve"> m. lankytojų skaičius lankytinuose Utenos </w:t>
      </w:r>
      <w:r w:rsidR="00260B13">
        <w:t>krašto</w:t>
      </w:r>
      <w:r>
        <w:t xml:space="preserve"> objektuose </w:t>
      </w:r>
    </w:p>
    <w:p w:rsidR="004F2DA8" w:rsidRDefault="004F2DA8" w:rsidP="00236A9F">
      <w:pPr>
        <w:pStyle w:val="Antrat1"/>
        <w:spacing w:before="0" w:beforeAutospacing="0" w:after="0" w:afterAutospacing="0"/>
        <w:jc w:val="both"/>
        <w:rPr>
          <w:b w:val="0"/>
          <w:sz w:val="24"/>
          <w:szCs w:val="24"/>
        </w:rPr>
      </w:pPr>
    </w:p>
    <w:p w:rsidR="004F2DA8" w:rsidRDefault="004F2DA8" w:rsidP="004F2DA8">
      <w:pPr>
        <w:pStyle w:val="Antrat1"/>
        <w:spacing w:before="0" w:beforeAutospacing="0" w:after="0" w:afterAutospacing="0"/>
        <w:jc w:val="both"/>
        <w:rPr>
          <w:b w:val="0"/>
          <w:sz w:val="24"/>
          <w:szCs w:val="24"/>
        </w:rPr>
      </w:pPr>
      <w:r>
        <w:rPr>
          <w:b w:val="0"/>
          <w:sz w:val="24"/>
          <w:szCs w:val="24"/>
        </w:rPr>
        <w:t>Daugiau nei 3000 lankytojų 2020 m. apsilankė Utenos kraštotyros muzieju</w:t>
      </w:r>
      <w:r w:rsidR="00260B13">
        <w:rPr>
          <w:b w:val="0"/>
          <w:sz w:val="24"/>
          <w:szCs w:val="24"/>
        </w:rPr>
        <w:t>je</w:t>
      </w:r>
      <w:r w:rsidRPr="00AE74AB">
        <w:rPr>
          <w:b w:val="0"/>
          <w:sz w:val="24"/>
          <w:szCs w:val="24"/>
        </w:rPr>
        <w:t xml:space="preserve"> (</w:t>
      </w:r>
      <w:proofErr w:type="spellStart"/>
      <w:r w:rsidRPr="00AE74AB">
        <w:rPr>
          <w:b w:val="0"/>
          <w:sz w:val="24"/>
          <w:szCs w:val="24"/>
        </w:rPr>
        <w:t>Utenio</w:t>
      </w:r>
      <w:proofErr w:type="spellEnd"/>
      <w:r w:rsidRPr="00AE74AB">
        <w:rPr>
          <w:b w:val="0"/>
          <w:sz w:val="24"/>
          <w:szCs w:val="24"/>
        </w:rPr>
        <w:t xml:space="preserve"> a. 3, Utena)</w:t>
      </w:r>
      <w:r>
        <w:rPr>
          <w:b w:val="0"/>
          <w:sz w:val="24"/>
          <w:szCs w:val="24"/>
        </w:rPr>
        <w:t xml:space="preserve"> ir šio muziejaus padalinyje </w:t>
      </w:r>
      <w:proofErr w:type="spellStart"/>
      <w:r>
        <w:rPr>
          <w:b w:val="0"/>
          <w:sz w:val="24"/>
          <w:szCs w:val="24"/>
        </w:rPr>
        <w:t>Leliūnų</w:t>
      </w:r>
      <w:proofErr w:type="spellEnd"/>
      <w:r>
        <w:rPr>
          <w:b w:val="0"/>
          <w:sz w:val="24"/>
          <w:szCs w:val="24"/>
        </w:rPr>
        <w:t xml:space="preserve"> miestelyje </w:t>
      </w:r>
      <w:r w:rsidRPr="00AE74AB">
        <w:rPr>
          <w:b w:val="0"/>
          <w:sz w:val="24"/>
          <w:szCs w:val="24"/>
        </w:rPr>
        <w:t xml:space="preserve">–Vytauto </w:t>
      </w:r>
      <w:proofErr w:type="spellStart"/>
      <w:r w:rsidRPr="00AE74AB">
        <w:rPr>
          <w:b w:val="0"/>
          <w:sz w:val="24"/>
          <w:szCs w:val="24"/>
        </w:rPr>
        <w:t>Valiušio</w:t>
      </w:r>
      <w:proofErr w:type="spellEnd"/>
      <w:r w:rsidRPr="00AE74AB">
        <w:rPr>
          <w:b w:val="0"/>
          <w:sz w:val="24"/>
          <w:szCs w:val="24"/>
        </w:rPr>
        <w:t xml:space="preserve"> keramikos muziejuj</w:t>
      </w:r>
      <w:r>
        <w:rPr>
          <w:b w:val="0"/>
          <w:sz w:val="24"/>
          <w:szCs w:val="24"/>
        </w:rPr>
        <w:t xml:space="preserve">e. Giedriaus </w:t>
      </w:r>
      <w:proofErr w:type="spellStart"/>
      <w:r>
        <w:rPr>
          <w:b w:val="0"/>
          <w:sz w:val="24"/>
          <w:szCs w:val="24"/>
        </w:rPr>
        <w:t>Mazūro</w:t>
      </w:r>
      <w:proofErr w:type="spellEnd"/>
      <w:r>
        <w:rPr>
          <w:b w:val="0"/>
          <w:sz w:val="24"/>
          <w:szCs w:val="24"/>
        </w:rPr>
        <w:t xml:space="preserve"> netradicinių skulptūrų parke ir keramikos studijoje apsilankė 2183 lankytojai. Likusių objektų lankytojų skaičius neviršijo vieno tūstančio. Utenos aludarystės pažinimo centras (Pramonės g. 12, </w:t>
      </w:r>
      <w:r>
        <w:rPr>
          <w:b w:val="0"/>
          <w:sz w:val="24"/>
          <w:szCs w:val="24"/>
        </w:rPr>
        <w:lastRenderedPageBreak/>
        <w:t xml:space="preserve">Utena) dėl remonto bei ekstremalios situacijos </w:t>
      </w:r>
      <w:r w:rsidR="007449C9">
        <w:rPr>
          <w:b w:val="0"/>
          <w:sz w:val="24"/>
          <w:szCs w:val="24"/>
        </w:rPr>
        <w:t>ir</w:t>
      </w:r>
      <w:r>
        <w:rPr>
          <w:b w:val="0"/>
          <w:sz w:val="24"/>
          <w:szCs w:val="24"/>
        </w:rPr>
        <w:t xml:space="preserve"> karantino r</w:t>
      </w:r>
      <w:r w:rsidR="002B1C28">
        <w:rPr>
          <w:b w:val="0"/>
          <w:sz w:val="24"/>
          <w:szCs w:val="24"/>
        </w:rPr>
        <w:t>e</w:t>
      </w:r>
      <w:r>
        <w:rPr>
          <w:b w:val="0"/>
          <w:sz w:val="24"/>
          <w:szCs w:val="24"/>
        </w:rPr>
        <w:t>žimo</w:t>
      </w:r>
      <w:r w:rsidR="007449C9">
        <w:rPr>
          <w:b w:val="0"/>
          <w:sz w:val="24"/>
          <w:szCs w:val="24"/>
        </w:rPr>
        <w:t xml:space="preserve"> Lietuvos teritorijoje</w:t>
      </w:r>
      <w:r>
        <w:rPr>
          <w:b w:val="0"/>
          <w:sz w:val="24"/>
          <w:szCs w:val="24"/>
        </w:rPr>
        <w:t xml:space="preserve"> 2020 m. lankytojų neaptarnavo.</w:t>
      </w:r>
    </w:p>
    <w:p w:rsidR="004F2DA8" w:rsidRDefault="004F2DA8" w:rsidP="004F2DA8">
      <w:pPr>
        <w:pStyle w:val="Antrat1"/>
        <w:spacing w:before="0" w:beforeAutospacing="0" w:after="0" w:afterAutospacing="0"/>
        <w:jc w:val="both"/>
        <w:rPr>
          <w:b w:val="0"/>
          <w:sz w:val="24"/>
          <w:szCs w:val="24"/>
        </w:rPr>
      </w:pPr>
    </w:p>
    <w:p w:rsidR="002C503C" w:rsidRDefault="00BF7F8D" w:rsidP="00553F32">
      <w:pPr>
        <w:jc w:val="center"/>
      </w:pPr>
      <w:r>
        <w:rPr>
          <w:noProof/>
        </w:rPr>
        <w:drawing>
          <wp:inline distT="0" distB="0" distL="0" distR="0" wp14:anchorId="11BA50E6" wp14:editId="2691D50F">
            <wp:extent cx="6096000" cy="3009901"/>
            <wp:effectExtent l="0" t="0" r="19050" b="19050"/>
            <wp:docPr id="4" name="Diagrama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BF7F8D" w:rsidRDefault="00BF7F8D" w:rsidP="00BF7F8D">
      <w:pPr>
        <w:jc w:val="center"/>
      </w:pPr>
      <w:r>
        <w:rPr>
          <w:b/>
        </w:rPr>
        <w:t>10</w:t>
      </w:r>
      <w:r w:rsidRPr="002A54B7">
        <w:rPr>
          <w:b/>
        </w:rPr>
        <w:t xml:space="preserve"> pav.</w:t>
      </w:r>
      <w:r w:rsidRPr="002A54B7">
        <w:t xml:space="preserve"> </w:t>
      </w:r>
      <w:r>
        <w:t>2020</w:t>
      </w:r>
      <w:r w:rsidRPr="002A54B7">
        <w:t xml:space="preserve"> m.</w:t>
      </w:r>
      <w:r>
        <w:t xml:space="preserve"> lankytojų skaičius lankytinuose Utenos </w:t>
      </w:r>
      <w:r w:rsidR="00260B13">
        <w:t>krašto</w:t>
      </w:r>
      <w:r>
        <w:t xml:space="preserve"> objektuose mėnesiais</w:t>
      </w:r>
    </w:p>
    <w:p w:rsidR="00BF7F8D" w:rsidRDefault="00BF7F8D" w:rsidP="00BF7F8D"/>
    <w:p w:rsidR="00913E74" w:rsidRDefault="00913E74" w:rsidP="00553F32">
      <w:pPr>
        <w:jc w:val="both"/>
      </w:pPr>
      <w:r>
        <w:t>10 pav</w:t>
      </w:r>
      <w:r w:rsidR="002B1C28">
        <w:t>.</w:t>
      </w:r>
      <w:r>
        <w:t xml:space="preserve"> galima pastebėti, kad </w:t>
      </w:r>
      <w:r w:rsidR="00260B13">
        <w:t xml:space="preserve">objektuose </w:t>
      </w:r>
      <w:r>
        <w:t>lankytojų srautus tiesiogiai įtakojo karantino r</w:t>
      </w:r>
      <w:r w:rsidR="002B1C28">
        <w:t>e</w:t>
      </w:r>
      <w:r>
        <w:t>žimas, t.y. lankytojų skaičius kovo mėnesį lyginant su vasario mėnesiu sumažėjo 5 kartus</w:t>
      </w:r>
      <w:r w:rsidR="00553F32">
        <w:t>, o</w:t>
      </w:r>
      <w:r>
        <w:t xml:space="preserve"> mažiausia</w:t>
      </w:r>
      <w:r w:rsidR="00553F32">
        <w:t xml:space="preserve"> lankytojų buvo sulaukta</w:t>
      </w:r>
      <w:r>
        <w:t xml:space="preserve"> balandžio</w:t>
      </w:r>
      <w:r w:rsidR="00553F32">
        <w:t xml:space="preserve"> bei lapkričio mėnesiais (neviršijo 300)</w:t>
      </w:r>
      <w:r>
        <w:t xml:space="preserve">, nuo gegužės mėnesio </w:t>
      </w:r>
      <w:r w:rsidR="00553F32">
        <w:t xml:space="preserve">lankytojų skaičius </w:t>
      </w:r>
      <w:r>
        <w:t xml:space="preserve">pradėjo augti ir liepos bei rugpjūčio mėnesiais buvo didžiausias, t.y. viršijo 3000 lankytojų per mėnesį. </w:t>
      </w:r>
      <w:r w:rsidR="00553F32">
        <w:t>G</w:t>
      </w:r>
      <w:r w:rsidR="00260B13">
        <w:t xml:space="preserve">ruodžio mėnesį lankytojai objektuose </w:t>
      </w:r>
      <w:r w:rsidR="009A67F2">
        <w:t>nesilankė.</w:t>
      </w:r>
    </w:p>
    <w:p w:rsidR="00913E74" w:rsidRDefault="00913E74" w:rsidP="00BF7F8D"/>
    <w:p w:rsidR="002C503C" w:rsidRDefault="00A40A51" w:rsidP="00AF3AD0">
      <w:pPr>
        <w:ind w:firstLine="1296"/>
        <w:jc w:val="both"/>
      </w:pPr>
      <w:r w:rsidRPr="00553F32">
        <w:t xml:space="preserve">Bendras skaičius lankytojų šiuose objektuose buvo </w:t>
      </w:r>
      <w:r w:rsidR="00553F32" w:rsidRPr="00553F32">
        <w:t>19209</w:t>
      </w:r>
      <w:r w:rsidRPr="00553F32">
        <w:t>. 9</w:t>
      </w:r>
      <w:r w:rsidR="00553F32" w:rsidRPr="00553F32">
        <w:t>7</w:t>
      </w:r>
      <w:r w:rsidRPr="00553F32">
        <w:t>% šių lankytojų sudarė lietuviai (</w:t>
      </w:r>
      <w:r w:rsidR="00553F32" w:rsidRPr="00553F32">
        <w:t>18661</w:t>
      </w:r>
      <w:r w:rsidRPr="00553F32">
        <w:t xml:space="preserve"> lankytojai), </w:t>
      </w:r>
      <w:r w:rsidR="00553F32" w:rsidRPr="00553F32">
        <w:t>3</w:t>
      </w:r>
      <w:r w:rsidRPr="00553F32">
        <w:t>%</w:t>
      </w:r>
      <w:r w:rsidR="00553F32" w:rsidRPr="00553F32">
        <w:t xml:space="preserve"> užsienio šalių lankytojai (548</w:t>
      </w:r>
      <w:r w:rsidRPr="00553F32">
        <w:t xml:space="preserve"> lankytojai). </w:t>
      </w:r>
    </w:p>
    <w:p w:rsidR="00260B13" w:rsidRPr="00553F32" w:rsidRDefault="00260B13" w:rsidP="00AF3AD0">
      <w:pPr>
        <w:ind w:firstLine="1296"/>
        <w:jc w:val="both"/>
      </w:pPr>
    </w:p>
    <w:p w:rsidR="002C503C" w:rsidRDefault="00553F32" w:rsidP="00022E9D">
      <w:r>
        <w:rPr>
          <w:noProof/>
        </w:rPr>
        <w:drawing>
          <wp:inline distT="0" distB="0" distL="0" distR="0" wp14:anchorId="100ADFA4" wp14:editId="354CA3B9">
            <wp:extent cx="6299835" cy="2829619"/>
            <wp:effectExtent l="0" t="0" r="24765" b="27940"/>
            <wp:docPr id="8" name="Diagrama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A40A51" w:rsidRDefault="00AF3AD0" w:rsidP="00A40A51">
      <w:pPr>
        <w:jc w:val="center"/>
      </w:pPr>
      <w:r w:rsidRPr="004C7874">
        <w:rPr>
          <w:b/>
        </w:rPr>
        <w:t>11 p</w:t>
      </w:r>
      <w:r w:rsidR="00A40A51" w:rsidRPr="004C7874">
        <w:rPr>
          <w:b/>
        </w:rPr>
        <w:t>av.</w:t>
      </w:r>
      <w:r w:rsidR="00A40A51" w:rsidRPr="004C7874">
        <w:t xml:space="preserve"> </w:t>
      </w:r>
      <w:r w:rsidR="00A40A51">
        <w:t>20</w:t>
      </w:r>
      <w:r w:rsidR="00553F32">
        <w:t>20</w:t>
      </w:r>
      <w:r w:rsidR="00A40A51">
        <w:t xml:space="preserve"> m. </w:t>
      </w:r>
      <w:r w:rsidR="004C7874">
        <w:t xml:space="preserve">užsieniečių </w:t>
      </w:r>
      <w:r w:rsidR="00A40A51">
        <w:t>skaičius</w:t>
      </w:r>
      <w:r w:rsidR="004C7874">
        <w:t xml:space="preserve"> pagal šalis Utenos </w:t>
      </w:r>
      <w:r w:rsidR="00260B13">
        <w:t>krašto</w:t>
      </w:r>
      <w:r w:rsidR="004C7874">
        <w:t xml:space="preserve"> </w:t>
      </w:r>
      <w:r w:rsidR="00A40A51">
        <w:t xml:space="preserve">lankytinuose objektuose </w:t>
      </w:r>
    </w:p>
    <w:p w:rsidR="002C503C" w:rsidRDefault="002C503C" w:rsidP="00022E9D"/>
    <w:p w:rsidR="00E2791B" w:rsidRPr="007C4116" w:rsidRDefault="002F7C35" w:rsidP="002F7C35">
      <w:pPr>
        <w:jc w:val="both"/>
      </w:pPr>
      <w:r w:rsidRPr="007C4116">
        <w:t xml:space="preserve">Didžiausią dalį iš užsieniečių lankytinuose objektuose sudarė Baltijos ir kaimyninių šalių gyventojai (latviai, estai, lenkai, baltarusiai, rusai) </w:t>
      </w:r>
      <w:r w:rsidR="00553F32" w:rsidRPr="007C4116">
        <w:t>86</w:t>
      </w:r>
      <w:r w:rsidRPr="007C4116">
        <w:t xml:space="preserve">% </w:t>
      </w:r>
      <w:r w:rsidR="007C4116" w:rsidRPr="007C4116">
        <w:t xml:space="preserve">(arba 465) </w:t>
      </w:r>
      <w:r w:rsidRPr="007C4116">
        <w:t>bendro užsienio lankytojų skaičiaus objektuose.</w:t>
      </w:r>
      <w:r w:rsidR="00E2791B" w:rsidRPr="007C4116">
        <w:t xml:space="preserve"> </w:t>
      </w:r>
      <w:r w:rsidR="00553F32" w:rsidRPr="007C4116">
        <w:t>Vokiečiai</w:t>
      </w:r>
      <w:r w:rsidR="007C4116" w:rsidRPr="007C4116">
        <w:t xml:space="preserve"> sudarė </w:t>
      </w:r>
      <w:r w:rsidR="00553F32" w:rsidRPr="007C4116">
        <w:t>5</w:t>
      </w:r>
      <w:r w:rsidR="007C4116" w:rsidRPr="007C4116">
        <w:t>%</w:t>
      </w:r>
      <w:r w:rsidR="00553F32" w:rsidRPr="007C4116">
        <w:t>, Didžio</w:t>
      </w:r>
      <w:r w:rsidR="007C4116" w:rsidRPr="007C4116">
        <w:t>sio</w:t>
      </w:r>
      <w:r w:rsidR="007C4116">
        <w:t>s</w:t>
      </w:r>
      <w:r w:rsidR="00553F32" w:rsidRPr="007C4116">
        <w:t xml:space="preserve"> Britanij</w:t>
      </w:r>
      <w:r w:rsidR="007C4116" w:rsidRPr="007C4116">
        <w:t>os gyventojai 4%, norvegai</w:t>
      </w:r>
      <w:r w:rsidR="00553F32" w:rsidRPr="007C4116">
        <w:t xml:space="preserve"> 2</w:t>
      </w:r>
      <w:r w:rsidR="007C4116" w:rsidRPr="007C4116">
        <w:t xml:space="preserve">%, danai 1% bendro </w:t>
      </w:r>
      <w:r w:rsidR="007C4116" w:rsidRPr="007C4116">
        <w:lastRenderedPageBreak/>
        <w:t>užsienio lankytojų skaičiaus. Kitų šalių</w:t>
      </w:r>
      <w:r w:rsidR="00553F32" w:rsidRPr="007C4116">
        <w:t xml:space="preserve"> (Italija, Arija, Portugalija, Švedija, Ukraina, Graikija) </w:t>
      </w:r>
      <w:r w:rsidR="007C4116" w:rsidRPr="007C4116">
        <w:t xml:space="preserve">gyventojai neviršijo po 1% bendro užsienio lankytojų skaičiaus </w:t>
      </w:r>
      <w:r w:rsidR="000103E8" w:rsidRPr="007C4116">
        <w:t>(žr. 11 pav.).</w:t>
      </w:r>
    </w:p>
    <w:p w:rsidR="00E2791B" w:rsidRDefault="00E2791B" w:rsidP="002F7C35">
      <w:pPr>
        <w:jc w:val="both"/>
      </w:pPr>
    </w:p>
    <w:p w:rsidR="007C4116" w:rsidRDefault="007C4116" w:rsidP="000103E8">
      <w:pPr>
        <w:jc w:val="center"/>
        <w:rPr>
          <w:b/>
          <w:sz w:val="28"/>
          <w:szCs w:val="28"/>
        </w:rPr>
      </w:pPr>
    </w:p>
    <w:p w:rsidR="002C503C" w:rsidRDefault="002A5230" w:rsidP="000103E8">
      <w:pPr>
        <w:jc w:val="center"/>
        <w:rPr>
          <w:b/>
          <w:sz w:val="28"/>
          <w:szCs w:val="28"/>
        </w:rPr>
      </w:pPr>
      <w:r w:rsidRPr="000103E8">
        <w:rPr>
          <w:b/>
          <w:sz w:val="28"/>
          <w:szCs w:val="28"/>
        </w:rPr>
        <w:t>IŠVADOS:</w:t>
      </w:r>
    </w:p>
    <w:p w:rsidR="007C4D1E" w:rsidRPr="000103E8" w:rsidRDefault="007C4D1E" w:rsidP="000103E8">
      <w:pPr>
        <w:jc w:val="center"/>
        <w:rPr>
          <w:b/>
          <w:sz w:val="28"/>
          <w:szCs w:val="28"/>
        </w:rPr>
      </w:pPr>
    </w:p>
    <w:p w:rsidR="003264C0" w:rsidRDefault="003264C0" w:rsidP="00260B13">
      <w:pPr>
        <w:pStyle w:val="Sraopastraipa"/>
        <w:numPr>
          <w:ilvl w:val="0"/>
          <w:numId w:val="3"/>
        </w:numPr>
        <w:jc w:val="both"/>
      </w:pPr>
      <w:r>
        <w:t>2020 m. bendras Stoties g. skyriaus lankytojų skaičius mažėjo 21%, lyginant su 2019 m., lyginant su 2018 m. sumažėjo 15%.</w:t>
      </w:r>
      <w:r w:rsidR="007C4D1E">
        <w:t xml:space="preserve">, tačiau liepos ir rugpjūčio mėnesiais lietuviai intensyviai keliavo šalies viduje ir Stoties g. lietuvių lankytojų skaičius šiais mėnesiais buvo didesnis nei 2018 m. ir 2019 m. liepą ir rugpjūtį (2020 m. liepą lietuvių lankytojų sulaukėme 25% daugiau nei 2018 m. ir 2019 m. liepos mėnesiais, o 2020 m. rugpjūtį apsilankė 11% daugiau nei 2018 m. rugpjūčio mėnesį bei 17% daugiau nei 2019 m. rugpjūtį). </w:t>
      </w:r>
    </w:p>
    <w:p w:rsidR="003264C0" w:rsidRDefault="003264C0" w:rsidP="003264C0">
      <w:pPr>
        <w:jc w:val="both"/>
      </w:pPr>
    </w:p>
    <w:p w:rsidR="00436173" w:rsidRPr="002B1C28" w:rsidRDefault="007C4D1E" w:rsidP="00260B13">
      <w:pPr>
        <w:pStyle w:val="Sraopastraipa"/>
        <w:numPr>
          <w:ilvl w:val="0"/>
          <w:numId w:val="3"/>
        </w:numPr>
        <w:jc w:val="both"/>
      </w:pPr>
      <w:r w:rsidRPr="002B1C28">
        <w:t xml:space="preserve">2020 m. užsieniečių lankytojų sumažėjo 76% lyginant su 2019 m. ir 77% lyginant su 2018 m. </w:t>
      </w:r>
      <w:r w:rsidR="00436173" w:rsidRPr="002B1C28">
        <w:t>2020 m. u</w:t>
      </w:r>
      <w:r w:rsidRPr="002B1C28">
        <w:t>žsieniečiai sudarė 2% viso Stoties g. skyriaus lankytojų skaičiaus</w:t>
      </w:r>
      <w:r w:rsidR="00260B13" w:rsidRPr="002B1C28">
        <w:t>.</w:t>
      </w:r>
      <w:r w:rsidRPr="002B1C28">
        <w:t xml:space="preserve"> Visi užsienio šalių lankytojai buvo iš Europos šalių</w:t>
      </w:r>
      <w:r w:rsidR="00436173" w:rsidRPr="002B1C28">
        <w:t xml:space="preserve">. Didžiausią dalį iš užsienio lankytojų sudarė Baltijos ir kaimyninių šalių gyventojai (latviai, estai, lenkai) – 68% </w:t>
      </w:r>
      <w:r w:rsidR="00260B13" w:rsidRPr="002B1C28">
        <w:t>bendro</w:t>
      </w:r>
      <w:r w:rsidR="00436173" w:rsidRPr="002B1C28">
        <w:t xml:space="preserve"> užsienio lankytojų skaičiaus 2020 m.</w:t>
      </w:r>
    </w:p>
    <w:p w:rsidR="00436173" w:rsidRPr="002B1C28" w:rsidRDefault="00436173" w:rsidP="007C4D1E">
      <w:pPr>
        <w:jc w:val="both"/>
      </w:pPr>
    </w:p>
    <w:p w:rsidR="00FA65C3" w:rsidRPr="002B1C28" w:rsidRDefault="00436173" w:rsidP="00260B13">
      <w:pPr>
        <w:pStyle w:val="Sraopastraipa"/>
        <w:numPr>
          <w:ilvl w:val="0"/>
          <w:numId w:val="3"/>
        </w:numPr>
        <w:jc w:val="both"/>
      </w:pPr>
      <w:r w:rsidRPr="002B1C28">
        <w:rPr>
          <w:rFonts w:eastAsia="Calibri"/>
          <w:lang w:eastAsia="en-US"/>
        </w:rPr>
        <w:t>Prisijungimų seansų skaičius prie svetainės 2020 m. sumažėjo 17</w:t>
      </w:r>
      <w:r w:rsidRPr="002B1C28">
        <w:t>% lyginant</w:t>
      </w:r>
      <w:r w:rsidRPr="002B1C28">
        <w:rPr>
          <w:rFonts w:eastAsia="Calibri"/>
          <w:lang w:eastAsia="en-US"/>
        </w:rPr>
        <w:t xml:space="preserve"> su 2019 m. prisijungimų prie svetainės skaičiumi ir sumažėjo 14</w:t>
      </w:r>
      <w:r w:rsidRPr="002B1C28">
        <w:t xml:space="preserve">% </w:t>
      </w:r>
      <w:r w:rsidRPr="002B1C28">
        <w:rPr>
          <w:rFonts w:eastAsia="Calibri"/>
          <w:lang w:eastAsia="en-US"/>
        </w:rPr>
        <w:t>lyginant su 2018 m. duomenimis.</w:t>
      </w:r>
      <w:r w:rsidR="00FA65C3" w:rsidRPr="002B1C28">
        <w:rPr>
          <w:rFonts w:eastAsia="Calibri"/>
          <w:lang w:eastAsia="en-US"/>
        </w:rPr>
        <w:t xml:space="preserve"> Daugiausia lankytojų prie svetainės 2020 m. prisijungė liepos mėnesį ir tai buvo 633 prisijungimais daugiau nei 2019 m. ir 4050 daugiau nei 2018 m. šį vasaros mėnesį. </w:t>
      </w:r>
      <w:r w:rsidRPr="002B1C28">
        <w:rPr>
          <w:rFonts w:eastAsia="Calibri"/>
          <w:lang w:eastAsia="en-US"/>
        </w:rPr>
        <w:t>2020 m</w:t>
      </w:r>
      <w:r w:rsidR="00FA65C3" w:rsidRPr="002B1C28">
        <w:rPr>
          <w:rFonts w:eastAsia="Calibri"/>
          <w:lang w:eastAsia="en-US"/>
        </w:rPr>
        <w:t>.</w:t>
      </w:r>
      <w:r w:rsidRPr="002B1C28">
        <w:rPr>
          <w:rFonts w:eastAsia="Calibri"/>
          <w:lang w:eastAsia="en-US"/>
        </w:rPr>
        <w:t xml:space="preserve"> prie</w:t>
      </w:r>
      <w:r w:rsidRPr="002B1C28">
        <w:t xml:space="preserve"> Utenos TIC svetainės prisijungė 86 valstybių gyventojai. Didžiausią dalį sudarė lietuviai – 94%. </w:t>
      </w:r>
      <w:r w:rsidR="00FA65C3" w:rsidRPr="002B1C28">
        <w:t>Populiariausi svetainės puslapiai buvo: „Ekskursijų sąrašas“, „Renginiai“ bei pradinis puslapis lietuvių kalba.</w:t>
      </w:r>
    </w:p>
    <w:p w:rsidR="00436173" w:rsidRPr="002B1C28" w:rsidRDefault="00436173" w:rsidP="00436173">
      <w:pPr>
        <w:jc w:val="both"/>
      </w:pPr>
    </w:p>
    <w:p w:rsidR="00FA65C3" w:rsidRPr="002B1C28" w:rsidRDefault="00430F5D" w:rsidP="00260B13">
      <w:pPr>
        <w:pStyle w:val="Sraopastraipa"/>
        <w:numPr>
          <w:ilvl w:val="0"/>
          <w:numId w:val="3"/>
        </w:numPr>
        <w:jc w:val="both"/>
      </w:pPr>
      <w:r w:rsidRPr="002B1C28">
        <w:t>Populiariausi lankytini</w:t>
      </w:r>
      <w:r w:rsidR="00FA65C3" w:rsidRPr="002B1C28">
        <w:t xml:space="preserve"> objektai Utenos krašte 2020 m. buvo Triušiukų slėnis (</w:t>
      </w:r>
      <w:r w:rsidR="002A5230" w:rsidRPr="002B1C28">
        <w:t>5871 lankytojas</w:t>
      </w:r>
      <w:r w:rsidR="00FA65C3" w:rsidRPr="002B1C28">
        <w:t>), U</w:t>
      </w:r>
      <w:r w:rsidR="002A5230" w:rsidRPr="002B1C28">
        <w:t>tenos kraštotyros muziejus (3840 lankytojų</w:t>
      </w:r>
      <w:r w:rsidR="00FA65C3" w:rsidRPr="002B1C28">
        <w:t xml:space="preserve">), Vytauto </w:t>
      </w:r>
      <w:proofErr w:type="spellStart"/>
      <w:r w:rsidR="00FA65C3" w:rsidRPr="002B1C28">
        <w:t>V</w:t>
      </w:r>
      <w:r w:rsidR="002A5230" w:rsidRPr="002B1C28">
        <w:t>aliušio</w:t>
      </w:r>
      <w:proofErr w:type="spellEnd"/>
      <w:r w:rsidR="002A5230" w:rsidRPr="002B1C28">
        <w:t xml:space="preserve"> keramikos muziejus (3316 lankytojų</w:t>
      </w:r>
      <w:r w:rsidR="00FA65C3" w:rsidRPr="002B1C28">
        <w:t xml:space="preserve">). </w:t>
      </w:r>
      <w:r w:rsidR="002A5230" w:rsidRPr="002B1C28">
        <w:t>Liepos bei rugpjūčio mėnesiais lankytojų skaičius objektuose buvo didžiausias, t.y. viršijo 3000 per mėnesį. Lietuviai lankytojai sudarė 97% bendro lankytojų skaičiaus. Populiariausia užsienio šalis – Latvija (311 lankytojų arba 57% bendro užsienio lankytojų skaičiaus).</w:t>
      </w:r>
    </w:p>
    <w:p w:rsidR="00436173" w:rsidRDefault="00436173" w:rsidP="00436173">
      <w:pPr>
        <w:jc w:val="both"/>
      </w:pPr>
    </w:p>
    <w:p w:rsidR="00FA65C3" w:rsidRDefault="00FA65C3" w:rsidP="00436173">
      <w:pPr>
        <w:jc w:val="both"/>
      </w:pPr>
    </w:p>
    <w:sectPr w:rsidR="00FA65C3" w:rsidSect="00201991">
      <w:pgSz w:w="11906" w:h="16838"/>
      <w:pgMar w:top="1134" w:right="567" w:bottom="1134" w:left="1418"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E47062"/>
    <w:multiLevelType w:val="hybridMultilevel"/>
    <w:tmpl w:val="49141C1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nsid w:val="47EE3924"/>
    <w:multiLevelType w:val="hybridMultilevel"/>
    <w:tmpl w:val="BB88D98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nsid w:val="6DAD5157"/>
    <w:multiLevelType w:val="hybridMultilevel"/>
    <w:tmpl w:val="2ED4EF8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5C6D"/>
    <w:rsid w:val="000103E8"/>
    <w:rsid w:val="00022E9D"/>
    <w:rsid w:val="000775CD"/>
    <w:rsid w:val="000814BA"/>
    <w:rsid w:val="001101CC"/>
    <w:rsid w:val="00121768"/>
    <w:rsid w:val="001E41D3"/>
    <w:rsid w:val="001F0949"/>
    <w:rsid w:val="001F746C"/>
    <w:rsid w:val="00201991"/>
    <w:rsid w:val="00236A9F"/>
    <w:rsid w:val="00247297"/>
    <w:rsid w:val="00255640"/>
    <w:rsid w:val="00260B13"/>
    <w:rsid w:val="0026334D"/>
    <w:rsid w:val="00272469"/>
    <w:rsid w:val="002A5230"/>
    <w:rsid w:val="002B1C28"/>
    <w:rsid w:val="002C503C"/>
    <w:rsid w:val="002C58D3"/>
    <w:rsid w:val="002F7C35"/>
    <w:rsid w:val="00312FFB"/>
    <w:rsid w:val="003264C0"/>
    <w:rsid w:val="00366077"/>
    <w:rsid w:val="0038315E"/>
    <w:rsid w:val="003A2E55"/>
    <w:rsid w:val="003C4202"/>
    <w:rsid w:val="00430F5D"/>
    <w:rsid w:val="00436173"/>
    <w:rsid w:val="00485891"/>
    <w:rsid w:val="00485F18"/>
    <w:rsid w:val="004C7874"/>
    <w:rsid w:val="004F232B"/>
    <w:rsid w:val="004F2DA8"/>
    <w:rsid w:val="00500CEB"/>
    <w:rsid w:val="00553F32"/>
    <w:rsid w:val="0056137A"/>
    <w:rsid w:val="0059233F"/>
    <w:rsid w:val="005A1311"/>
    <w:rsid w:val="005A27CA"/>
    <w:rsid w:val="005A7449"/>
    <w:rsid w:val="005B0B7F"/>
    <w:rsid w:val="005C7E0D"/>
    <w:rsid w:val="005D1AAE"/>
    <w:rsid w:val="005E2C35"/>
    <w:rsid w:val="005F084B"/>
    <w:rsid w:val="0063469B"/>
    <w:rsid w:val="00650176"/>
    <w:rsid w:val="006B0540"/>
    <w:rsid w:val="006C7A30"/>
    <w:rsid w:val="006D3BC9"/>
    <w:rsid w:val="006F197D"/>
    <w:rsid w:val="00701963"/>
    <w:rsid w:val="00707B63"/>
    <w:rsid w:val="00710708"/>
    <w:rsid w:val="007449C9"/>
    <w:rsid w:val="007523FC"/>
    <w:rsid w:val="007A57C7"/>
    <w:rsid w:val="007C4116"/>
    <w:rsid w:val="007C4D1E"/>
    <w:rsid w:val="007D71D3"/>
    <w:rsid w:val="00811347"/>
    <w:rsid w:val="008211AE"/>
    <w:rsid w:val="0083142D"/>
    <w:rsid w:val="008334FA"/>
    <w:rsid w:val="008577CA"/>
    <w:rsid w:val="00874378"/>
    <w:rsid w:val="0087443A"/>
    <w:rsid w:val="008965E7"/>
    <w:rsid w:val="008B0A94"/>
    <w:rsid w:val="008D60CD"/>
    <w:rsid w:val="00913E74"/>
    <w:rsid w:val="009236A0"/>
    <w:rsid w:val="00925662"/>
    <w:rsid w:val="009756AE"/>
    <w:rsid w:val="00995643"/>
    <w:rsid w:val="009A67F2"/>
    <w:rsid w:val="009E2007"/>
    <w:rsid w:val="00A064C4"/>
    <w:rsid w:val="00A25C6D"/>
    <w:rsid w:val="00A32CC1"/>
    <w:rsid w:val="00A40A51"/>
    <w:rsid w:val="00A64DB7"/>
    <w:rsid w:val="00A96B7A"/>
    <w:rsid w:val="00AD7793"/>
    <w:rsid w:val="00AE240E"/>
    <w:rsid w:val="00AE74AB"/>
    <w:rsid w:val="00AF2FF5"/>
    <w:rsid w:val="00AF3AD0"/>
    <w:rsid w:val="00B010D5"/>
    <w:rsid w:val="00B06689"/>
    <w:rsid w:val="00B06983"/>
    <w:rsid w:val="00B25479"/>
    <w:rsid w:val="00B47ECF"/>
    <w:rsid w:val="00B47FB2"/>
    <w:rsid w:val="00B77D2A"/>
    <w:rsid w:val="00BB37E8"/>
    <w:rsid w:val="00BB4D11"/>
    <w:rsid w:val="00BC27E3"/>
    <w:rsid w:val="00BC5B16"/>
    <w:rsid w:val="00BC790E"/>
    <w:rsid w:val="00BE2C72"/>
    <w:rsid w:val="00BF0702"/>
    <w:rsid w:val="00BF7F8D"/>
    <w:rsid w:val="00C13717"/>
    <w:rsid w:val="00C348BC"/>
    <w:rsid w:val="00C47712"/>
    <w:rsid w:val="00C572BE"/>
    <w:rsid w:val="00C94F36"/>
    <w:rsid w:val="00CD2860"/>
    <w:rsid w:val="00CD39A5"/>
    <w:rsid w:val="00CE5569"/>
    <w:rsid w:val="00D61574"/>
    <w:rsid w:val="00D77135"/>
    <w:rsid w:val="00D81C43"/>
    <w:rsid w:val="00DD23CA"/>
    <w:rsid w:val="00E22D01"/>
    <w:rsid w:val="00E2791B"/>
    <w:rsid w:val="00E462E0"/>
    <w:rsid w:val="00E529CA"/>
    <w:rsid w:val="00E72BD7"/>
    <w:rsid w:val="00E73377"/>
    <w:rsid w:val="00E758A3"/>
    <w:rsid w:val="00ED77EE"/>
    <w:rsid w:val="00F43D43"/>
    <w:rsid w:val="00F619AD"/>
    <w:rsid w:val="00F70723"/>
    <w:rsid w:val="00F768EF"/>
    <w:rsid w:val="00FA65C3"/>
    <w:rsid w:val="00FB5402"/>
    <w:rsid w:val="00FD522C"/>
    <w:rsid w:val="00FE1CB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BE2C72"/>
    <w:pPr>
      <w:spacing w:after="0" w:line="240" w:lineRule="auto"/>
    </w:pPr>
    <w:rPr>
      <w:rFonts w:ascii="Times New Roman" w:eastAsia="Times New Roman" w:hAnsi="Times New Roman" w:cs="Times New Roman"/>
      <w:sz w:val="24"/>
      <w:szCs w:val="24"/>
      <w:lang w:eastAsia="lt-LT"/>
    </w:rPr>
  </w:style>
  <w:style w:type="paragraph" w:styleId="Antrat1">
    <w:name w:val="heading 1"/>
    <w:basedOn w:val="prastasis"/>
    <w:link w:val="Antrat1Diagrama"/>
    <w:uiPriority w:val="9"/>
    <w:qFormat/>
    <w:rsid w:val="00AE74AB"/>
    <w:pPr>
      <w:spacing w:before="100" w:beforeAutospacing="1" w:after="100" w:afterAutospacing="1"/>
      <w:outlineLvl w:val="0"/>
    </w:pPr>
    <w:rPr>
      <w:b/>
      <w:bCs/>
      <w:kern w:val="36"/>
      <w:sz w:val="48"/>
      <w:szCs w:val="4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uiPriority w:val="99"/>
    <w:unhideWhenUsed/>
    <w:rsid w:val="00BE2C72"/>
    <w:rPr>
      <w:color w:val="0000FF"/>
      <w:u w:val="single"/>
    </w:rPr>
  </w:style>
  <w:style w:type="paragraph" w:styleId="Debesliotekstas">
    <w:name w:val="Balloon Text"/>
    <w:basedOn w:val="prastasis"/>
    <w:link w:val="DebesliotekstasDiagrama"/>
    <w:uiPriority w:val="99"/>
    <w:semiHidden/>
    <w:unhideWhenUsed/>
    <w:rsid w:val="000814BA"/>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0814BA"/>
    <w:rPr>
      <w:rFonts w:ascii="Tahoma" w:eastAsia="Times New Roman" w:hAnsi="Tahoma" w:cs="Tahoma"/>
      <w:sz w:val="16"/>
      <w:szCs w:val="16"/>
      <w:lang w:eastAsia="lt-LT"/>
    </w:rPr>
  </w:style>
  <w:style w:type="character" w:customStyle="1" w:styleId="Antrat1Diagrama">
    <w:name w:val="Antraštė 1 Diagrama"/>
    <w:basedOn w:val="Numatytasispastraiposriftas"/>
    <w:link w:val="Antrat1"/>
    <w:uiPriority w:val="9"/>
    <w:rsid w:val="00AE74AB"/>
    <w:rPr>
      <w:rFonts w:ascii="Times New Roman" w:eastAsia="Times New Roman" w:hAnsi="Times New Roman" w:cs="Times New Roman"/>
      <w:b/>
      <w:bCs/>
      <w:kern w:val="36"/>
      <w:sz w:val="48"/>
      <w:szCs w:val="48"/>
      <w:lang w:eastAsia="lt-LT"/>
    </w:rPr>
  </w:style>
  <w:style w:type="paragraph" w:styleId="Sraopastraipa">
    <w:name w:val="List Paragraph"/>
    <w:basedOn w:val="prastasis"/>
    <w:uiPriority w:val="34"/>
    <w:qFormat/>
    <w:rsid w:val="00BC5B16"/>
    <w:pPr>
      <w:ind w:left="720"/>
      <w:contextualSpacing/>
    </w:pPr>
  </w:style>
  <w:style w:type="character" w:customStyle="1" w:styleId="acopre">
    <w:name w:val="acopre"/>
    <w:basedOn w:val="Numatytasispastraiposriftas"/>
    <w:rsid w:val="00B010D5"/>
  </w:style>
  <w:style w:type="character" w:styleId="Emfaz">
    <w:name w:val="Emphasis"/>
    <w:basedOn w:val="Numatytasispastraiposriftas"/>
    <w:uiPriority w:val="20"/>
    <w:qFormat/>
    <w:rsid w:val="00B010D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BE2C72"/>
    <w:pPr>
      <w:spacing w:after="0" w:line="240" w:lineRule="auto"/>
    </w:pPr>
    <w:rPr>
      <w:rFonts w:ascii="Times New Roman" w:eastAsia="Times New Roman" w:hAnsi="Times New Roman" w:cs="Times New Roman"/>
      <w:sz w:val="24"/>
      <w:szCs w:val="24"/>
      <w:lang w:eastAsia="lt-LT"/>
    </w:rPr>
  </w:style>
  <w:style w:type="paragraph" w:styleId="Antrat1">
    <w:name w:val="heading 1"/>
    <w:basedOn w:val="prastasis"/>
    <w:link w:val="Antrat1Diagrama"/>
    <w:uiPriority w:val="9"/>
    <w:qFormat/>
    <w:rsid w:val="00AE74AB"/>
    <w:pPr>
      <w:spacing w:before="100" w:beforeAutospacing="1" w:after="100" w:afterAutospacing="1"/>
      <w:outlineLvl w:val="0"/>
    </w:pPr>
    <w:rPr>
      <w:b/>
      <w:bCs/>
      <w:kern w:val="36"/>
      <w:sz w:val="48"/>
      <w:szCs w:val="4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uiPriority w:val="99"/>
    <w:unhideWhenUsed/>
    <w:rsid w:val="00BE2C72"/>
    <w:rPr>
      <w:color w:val="0000FF"/>
      <w:u w:val="single"/>
    </w:rPr>
  </w:style>
  <w:style w:type="paragraph" w:styleId="Debesliotekstas">
    <w:name w:val="Balloon Text"/>
    <w:basedOn w:val="prastasis"/>
    <w:link w:val="DebesliotekstasDiagrama"/>
    <w:uiPriority w:val="99"/>
    <w:semiHidden/>
    <w:unhideWhenUsed/>
    <w:rsid w:val="000814BA"/>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0814BA"/>
    <w:rPr>
      <w:rFonts w:ascii="Tahoma" w:eastAsia="Times New Roman" w:hAnsi="Tahoma" w:cs="Tahoma"/>
      <w:sz w:val="16"/>
      <w:szCs w:val="16"/>
      <w:lang w:eastAsia="lt-LT"/>
    </w:rPr>
  </w:style>
  <w:style w:type="character" w:customStyle="1" w:styleId="Antrat1Diagrama">
    <w:name w:val="Antraštė 1 Diagrama"/>
    <w:basedOn w:val="Numatytasispastraiposriftas"/>
    <w:link w:val="Antrat1"/>
    <w:uiPriority w:val="9"/>
    <w:rsid w:val="00AE74AB"/>
    <w:rPr>
      <w:rFonts w:ascii="Times New Roman" w:eastAsia="Times New Roman" w:hAnsi="Times New Roman" w:cs="Times New Roman"/>
      <w:b/>
      <w:bCs/>
      <w:kern w:val="36"/>
      <w:sz w:val="48"/>
      <w:szCs w:val="48"/>
      <w:lang w:eastAsia="lt-LT"/>
    </w:rPr>
  </w:style>
  <w:style w:type="paragraph" w:styleId="Sraopastraipa">
    <w:name w:val="List Paragraph"/>
    <w:basedOn w:val="prastasis"/>
    <w:uiPriority w:val="34"/>
    <w:qFormat/>
    <w:rsid w:val="00BC5B16"/>
    <w:pPr>
      <w:ind w:left="720"/>
      <w:contextualSpacing/>
    </w:pPr>
  </w:style>
  <w:style w:type="character" w:customStyle="1" w:styleId="acopre">
    <w:name w:val="acopre"/>
    <w:basedOn w:val="Numatytasispastraiposriftas"/>
    <w:rsid w:val="00B010D5"/>
  </w:style>
  <w:style w:type="character" w:styleId="Emfaz">
    <w:name w:val="Emphasis"/>
    <w:basedOn w:val="Numatytasispastraiposriftas"/>
    <w:uiPriority w:val="20"/>
    <w:qFormat/>
    <w:rsid w:val="00B010D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6758347">
      <w:bodyDiv w:val="1"/>
      <w:marLeft w:val="0"/>
      <w:marRight w:val="0"/>
      <w:marTop w:val="0"/>
      <w:marBottom w:val="0"/>
      <w:divBdr>
        <w:top w:val="none" w:sz="0" w:space="0" w:color="auto"/>
        <w:left w:val="none" w:sz="0" w:space="0" w:color="auto"/>
        <w:bottom w:val="none" w:sz="0" w:space="0" w:color="auto"/>
        <w:right w:val="none" w:sz="0" w:space="0" w:color="auto"/>
      </w:divBdr>
    </w:div>
    <w:div w:id="2112316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chart" Target="charts/chart5.xml"/><Relationship Id="rId18" Type="http://schemas.openxmlformats.org/officeDocument/2006/relationships/hyperlink" Target="http://www.utenainfo.lt" TargetMode="External"/><Relationship Id="rId3" Type="http://schemas.openxmlformats.org/officeDocument/2006/relationships/styles" Target="styles.xml"/><Relationship Id="rId21" Type="http://schemas.openxmlformats.org/officeDocument/2006/relationships/chart" Target="charts/chart11.xml"/><Relationship Id="rId7" Type="http://schemas.openxmlformats.org/officeDocument/2006/relationships/chart" Target="charts/chart1.xml"/><Relationship Id="rId12" Type="http://schemas.openxmlformats.org/officeDocument/2006/relationships/hyperlink" Target="http://www.utenainfo.lt" TargetMode="External"/><Relationship Id="rId17" Type="http://schemas.openxmlformats.org/officeDocument/2006/relationships/hyperlink" Target="http://www.utenainfo.lt" TargetMode="Externa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chart" Target="charts/chart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TENAINFO.LT" TargetMode="External"/><Relationship Id="rId5" Type="http://schemas.openxmlformats.org/officeDocument/2006/relationships/settings" Target="settings.xml"/><Relationship Id="rId15" Type="http://schemas.openxmlformats.org/officeDocument/2006/relationships/chart" Target="charts/chart7.xml"/><Relationship Id="rId23" Type="http://schemas.openxmlformats.org/officeDocument/2006/relationships/theme" Target="theme/theme1.xml"/><Relationship Id="rId10" Type="http://schemas.openxmlformats.org/officeDocument/2006/relationships/chart" Target="charts/chart4.xml"/><Relationship Id="rId19" Type="http://schemas.openxmlformats.org/officeDocument/2006/relationships/chart" Target="charts/chart9.xml"/><Relationship Id="rId4" Type="http://schemas.microsoft.com/office/2007/relationships/stylesWithEffects" Target="stylesWithEffects.xml"/><Relationship Id="rId9" Type="http://schemas.openxmlformats.org/officeDocument/2006/relationships/chart" Target="charts/chart3.xml"/><Relationship Id="rId14" Type="http://schemas.openxmlformats.org/officeDocument/2006/relationships/chart" Target="charts/chart6.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Excel_Worksheet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Microsoft_Excel_Worksheet1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Worksheet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2">
                <a:lumMod val="60000"/>
                <a:lumOff val="40000"/>
              </a:schemeClr>
            </a:solidFill>
          </c:spPr>
          <c:invertIfNegative val="0"/>
          <c:dPt>
            <c:idx val="0"/>
            <c:invertIfNegative val="0"/>
            <c:bubble3D val="0"/>
            <c:spPr>
              <a:solidFill>
                <a:schemeClr val="tx2">
                  <a:lumMod val="40000"/>
                  <a:lumOff val="60000"/>
                </a:schemeClr>
              </a:solidFill>
            </c:spPr>
          </c:dPt>
          <c:dPt>
            <c:idx val="1"/>
            <c:invertIfNegative val="0"/>
            <c:bubble3D val="0"/>
            <c:spPr>
              <a:solidFill>
                <a:schemeClr val="accent6">
                  <a:lumMod val="60000"/>
                  <a:lumOff val="40000"/>
                </a:schemeClr>
              </a:solidFill>
            </c:spPr>
          </c:dPt>
          <c:dPt>
            <c:idx val="2"/>
            <c:invertIfNegative val="0"/>
            <c:bubble3D val="0"/>
            <c:spPr>
              <a:solidFill>
                <a:schemeClr val="accent3">
                  <a:lumMod val="60000"/>
                  <a:lumOff val="40000"/>
                </a:schemeClr>
              </a:solidFill>
            </c:spPr>
          </c:dPt>
          <c:dLbls>
            <c:dLblPos val="inEnd"/>
            <c:showLegendKey val="0"/>
            <c:showVal val="1"/>
            <c:showCatName val="0"/>
            <c:showSerName val="0"/>
            <c:showPercent val="0"/>
            <c:showBubbleSize val="0"/>
            <c:showLeaderLines val="0"/>
          </c:dLbls>
          <c:cat>
            <c:strRef>
              <c:f>'lankytoju statistika'!$G$21:$G$23</c:f>
              <c:strCache>
                <c:ptCount val="3"/>
                <c:pt idx="0">
                  <c:v>2018 m.</c:v>
                </c:pt>
                <c:pt idx="1">
                  <c:v>2019 m.</c:v>
                </c:pt>
                <c:pt idx="2">
                  <c:v>2020 m.</c:v>
                </c:pt>
              </c:strCache>
            </c:strRef>
          </c:cat>
          <c:val>
            <c:numRef>
              <c:f>'lankytoju statistika'!$H$21:$H$23</c:f>
              <c:numCache>
                <c:formatCode>General</c:formatCode>
                <c:ptCount val="3"/>
                <c:pt idx="0">
                  <c:v>7630</c:v>
                </c:pt>
                <c:pt idx="1">
                  <c:v>7109</c:v>
                </c:pt>
                <c:pt idx="2">
                  <c:v>6012</c:v>
                </c:pt>
              </c:numCache>
            </c:numRef>
          </c:val>
        </c:ser>
        <c:dLbls>
          <c:showLegendKey val="0"/>
          <c:showVal val="0"/>
          <c:showCatName val="0"/>
          <c:showSerName val="0"/>
          <c:showPercent val="0"/>
          <c:showBubbleSize val="0"/>
        </c:dLbls>
        <c:gapWidth val="75"/>
        <c:overlap val="40"/>
        <c:axId val="154069248"/>
        <c:axId val="154079232"/>
      </c:barChart>
      <c:catAx>
        <c:axId val="154069248"/>
        <c:scaling>
          <c:orientation val="minMax"/>
        </c:scaling>
        <c:delete val="0"/>
        <c:axPos val="b"/>
        <c:majorTickMark val="none"/>
        <c:minorTickMark val="none"/>
        <c:tickLblPos val="nextTo"/>
        <c:crossAx val="154079232"/>
        <c:crosses val="autoZero"/>
        <c:auto val="1"/>
        <c:lblAlgn val="ctr"/>
        <c:lblOffset val="100"/>
        <c:noMultiLvlLbl val="0"/>
      </c:catAx>
      <c:valAx>
        <c:axId val="154079232"/>
        <c:scaling>
          <c:orientation val="minMax"/>
        </c:scaling>
        <c:delete val="0"/>
        <c:axPos val="l"/>
        <c:majorGridlines/>
        <c:numFmt formatCode="General" sourceLinked="1"/>
        <c:majorTickMark val="none"/>
        <c:minorTickMark val="none"/>
        <c:tickLblPos val="nextTo"/>
        <c:crossAx val="154069248"/>
        <c:crosses val="autoZero"/>
        <c:crossBetween val="between"/>
      </c:valAx>
    </c:plotArea>
    <c:plotVisOnly val="1"/>
    <c:dispBlanksAs val="gap"/>
    <c:showDLblsOverMax val="0"/>
  </c:chart>
  <c:txPr>
    <a:bodyPr/>
    <a:lstStyle/>
    <a:p>
      <a:pPr>
        <a:defRPr sz="1200">
          <a:latin typeface="Times New Roman" panose="02020603050405020304" pitchFamily="18" charset="0"/>
          <a:cs typeface="Times New Roman" panose="02020603050405020304" pitchFamily="18" charset="0"/>
        </a:defRPr>
      </a:pPr>
      <a:endParaRPr lang="lt-LT"/>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cked"/>
        <c:varyColors val="0"/>
        <c:ser>
          <c:idx val="0"/>
          <c:order val="0"/>
          <c:tx>
            <c:strRef>
              <c:f>Lapas1!$O$52</c:f>
              <c:strCache>
                <c:ptCount val="1"/>
                <c:pt idx="0">
                  <c:v>2020 m.</c:v>
                </c:pt>
              </c:strCache>
            </c:strRef>
          </c:tx>
          <c:dLbls>
            <c:dLbl>
              <c:idx val="1"/>
              <c:layout>
                <c:manualLayout>
                  <c:x val="-6.2500000000000003E-3"/>
                  <c:y val="-2.5316447285143266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6.2499999999999622E-3"/>
                  <c:y val="-2.5316447285143266E-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0"/>
                  <c:y val="-1.6877631523428922E-2"/>
                </c:manualLayout>
              </c:layout>
              <c:showLegendKey val="0"/>
              <c:showVal val="1"/>
              <c:showCatName val="0"/>
              <c:showSerName val="0"/>
              <c:showPercent val="0"/>
              <c:showBubbleSize val="0"/>
              <c:extLst>
                <c:ext xmlns:c15="http://schemas.microsoft.com/office/drawing/2012/chart" uri="{CE6537A1-D6FC-4f65-9D91-7224C49458BB}"/>
              </c:extLst>
            </c:dLbl>
            <c:dLbl>
              <c:idx val="6"/>
              <c:layout>
                <c:manualLayout>
                  <c:x val="-6.0416666666666667E-2"/>
                  <c:y val="-5.0632894570286531E-2"/>
                </c:manualLayout>
              </c:layout>
              <c:showLegendKey val="0"/>
              <c:showVal val="1"/>
              <c:showCatName val="0"/>
              <c:showSerName val="0"/>
              <c:showPercent val="0"/>
              <c:showBubbleSize val="0"/>
              <c:extLst>
                <c:ext xmlns:c15="http://schemas.microsoft.com/office/drawing/2012/chart" uri="{CE6537A1-D6FC-4f65-9D91-7224C49458BB}"/>
              </c:extLst>
            </c:dLbl>
            <c:dLbl>
              <c:idx val="10"/>
              <c:layout>
                <c:manualLayout>
                  <c:x val="-6.2500000000000003E-3"/>
                  <c:y val="-4.2194078808572108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Lapas1!$A$53:$N$64</c:f>
              <c:strCache>
                <c:ptCount val="12"/>
                <c:pt idx="0">
                  <c:v>Sausis</c:v>
                </c:pt>
                <c:pt idx="1">
                  <c:v>Vasaris</c:v>
                </c:pt>
                <c:pt idx="2">
                  <c:v>Kovas</c:v>
                </c:pt>
                <c:pt idx="3">
                  <c:v>Balandis </c:v>
                </c:pt>
                <c:pt idx="4">
                  <c:v>Gegužė</c:v>
                </c:pt>
                <c:pt idx="5">
                  <c:v>Birželis</c:v>
                </c:pt>
                <c:pt idx="6">
                  <c:v>Liepa</c:v>
                </c:pt>
                <c:pt idx="7">
                  <c:v>Rugpjūtis</c:v>
                </c:pt>
                <c:pt idx="8">
                  <c:v>Rugsėjis</c:v>
                </c:pt>
                <c:pt idx="9">
                  <c:v>Spalis</c:v>
                </c:pt>
                <c:pt idx="10">
                  <c:v>Lapkritis</c:v>
                </c:pt>
                <c:pt idx="11">
                  <c:v>Gruodis</c:v>
                </c:pt>
              </c:strCache>
            </c:strRef>
          </c:cat>
          <c:val>
            <c:numRef>
              <c:f>Lapas1!$O$53:$O$64</c:f>
              <c:numCache>
                <c:formatCode>General</c:formatCode>
                <c:ptCount val="12"/>
                <c:pt idx="0">
                  <c:v>900</c:v>
                </c:pt>
                <c:pt idx="1">
                  <c:v>1424</c:v>
                </c:pt>
                <c:pt idx="2">
                  <c:v>676</c:v>
                </c:pt>
                <c:pt idx="3">
                  <c:v>127</c:v>
                </c:pt>
                <c:pt idx="4">
                  <c:v>1568</c:v>
                </c:pt>
                <c:pt idx="5">
                  <c:v>2527</c:v>
                </c:pt>
                <c:pt idx="6">
                  <c:v>3469</c:v>
                </c:pt>
                <c:pt idx="7">
                  <c:v>3582</c:v>
                </c:pt>
                <c:pt idx="8">
                  <c:v>2678</c:v>
                </c:pt>
                <c:pt idx="9">
                  <c:v>1978</c:v>
                </c:pt>
                <c:pt idx="10">
                  <c:v>280</c:v>
                </c:pt>
                <c:pt idx="11">
                  <c:v>0</c:v>
                </c:pt>
              </c:numCache>
            </c:numRef>
          </c:val>
          <c:smooth val="0"/>
        </c:ser>
        <c:dLbls>
          <c:showLegendKey val="0"/>
          <c:showVal val="1"/>
          <c:showCatName val="0"/>
          <c:showSerName val="0"/>
          <c:showPercent val="0"/>
          <c:showBubbleSize val="0"/>
        </c:dLbls>
        <c:marker val="1"/>
        <c:smooth val="0"/>
        <c:axId val="139556352"/>
        <c:axId val="139563392"/>
      </c:lineChart>
      <c:catAx>
        <c:axId val="139556352"/>
        <c:scaling>
          <c:orientation val="minMax"/>
        </c:scaling>
        <c:delete val="0"/>
        <c:axPos val="b"/>
        <c:numFmt formatCode="General" sourceLinked="0"/>
        <c:majorTickMark val="none"/>
        <c:minorTickMark val="none"/>
        <c:tickLblPos val="nextTo"/>
        <c:txPr>
          <a:bodyPr rot="-5400000" vert="horz"/>
          <a:lstStyle/>
          <a:p>
            <a:pPr>
              <a:defRPr/>
            </a:pPr>
            <a:endParaRPr lang="lt-LT"/>
          </a:p>
        </c:txPr>
        <c:crossAx val="139563392"/>
        <c:crosses val="autoZero"/>
        <c:auto val="1"/>
        <c:lblAlgn val="ctr"/>
        <c:lblOffset val="100"/>
        <c:noMultiLvlLbl val="0"/>
      </c:catAx>
      <c:valAx>
        <c:axId val="139563392"/>
        <c:scaling>
          <c:orientation val="minMax"/>
        </c:scaling>
        <c:delete val="0"/>
        <c:axPos val="l"/>
        <c:majorGridlines/>
        <c:numFmt formatCode="General" sourceLinked="1"/>
        <c:majorTickMark val="none"/>
        <c:minorTickMark val="none"/>
        <c:tickLblPos val="nextTo"/>
        <c:crossAx val="139556352"/>
        <c:crosses val="autoZero"/>
        <c:crossBetween val="between"/>
      </c:valAx>
    </c:plotArea>
    <c:plotVisOnly val="1"/>
    <c:dispBlanksAs val="zero"/>
    <c:showDLblsOverMax val="0"/>
  </c:chart>
  <c:txPr>
    <a:bodyPr/>
    <a:lstStyle/>
    <a:p>
      <a:pPr>
        <a:defRPr sz="1200">
          <a:latin typeface="Times New Roman" panose="02020603050405020304" pitchFamily="18" charset="0"/>
          <a:cs typeface="Times New Roman" panose="02020603050405020304" pitchFamily="18" charset="0"/>
        </a:defRPr>
      </a:pPr>
      <a:endParaRPr lang="lt-LT"/>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lumMod val="60000"/>
                <a:lumOff val="40000"/>
              </a:schemeClr>
            </a:solidFill>
          </c:spPr>
          <c:invertIfNegative val="0"/>
          <c:dLbls>
            <c:dLbl>
              <c:idx val="0"/>
              <c:layout>
                <c:manualLayout>
                  <c:x val="9.2462195029631509E-18"/>
                  <c:y val="1.7046239248524355E-2"/>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1"/>
              <c:layout>
                <c:manualLayout>
                  <c:x val="2.017380287144697E-3"/>
                  <c:y val="1.2560386814702151E-2"/>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2"/>
              <c:layout>
                <c:manualLayout>
                  <c:x val="0"/>
                  <c:y val="2.1273890254856466E-2"/>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3"/>
              <c:layout>
                <c:manualLayout>
                  <c:x val="-3.6984878011852604E-17"/>
                  <c:y val="1.5463828311239039E-2"/>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4"/>
              <c:layout>
                <c:manualLayout>
                  <c:x val="2.0173802871447338E-3"/>
                  <c:y val="1.2687191619721221E-2"/>
                </c:manualLayout>
              </c:layout>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Lapas1!$A$70:$A$84</c:f>
              <c:strCache>
                <c:ptCount val="15"/>
                <c:pt idx="0">
                  <c:v>Latvija</c:v>
                </c:pt>
                <c:pt idx="1">
                  <c:v>Lenkija</c:v>
                </c:pt>
                <c:pt idx="2">
                  <c:v>Vokietija</c:v>
                </c:pt>
                <c:pt idx="3">
                  <c:v>Didžioji Britanija</c:v>
                </c:pt>
                <c:pt idx="4">
                  <c:v>Estija</c:v>
                </c:pt>
                <c:pt idx="5">
                  <c:v>Norvegija</c:v>
                </c:pt>
                <c:pt idx="6">
                  <c:v>Danija</c:v>
                </c:pt>
                <c:pt idx="7">
                  <c:v>Baltarusjija</c:v>
                </c:pt>
                <c:pt idx="8">
                  <c:v>Italija</c:v>
                </c:pt>
                <c:pt idx="9">
                  <c:v>Airija</c:v>
                </c:pt>
                <c:pt idx="10">
                  <c:v>Rusija</c:v>
                </c:pt>
                <c:pt idx="11">
                  <c:v>Portugalija</c:v>
                </c:pt>
                <c:pt idx="12">
                  <c:v>Švedija</c:v>
                </c:pt>
                <c:pt idx="13">
                  <c:v>Ukraina</c:v>
                </c:pt>
                <c:pt idx="14">
                  <c:v>Graikija</c:v>
                </c:pt>
              </c:strCache>
            </c:strRef>
          </c:cat>
          <c:val>
            <c:numRef>
              <c:f>Lapas1!$B$70:$B$84</c:f>
              <c:numCache>
                <c:formatCode>General</c:formatCode>
                <c:ptCount val="15"/>
                <c:pt idx="0">
                  <c:v>311</c:v>
                </c:pt>
                <c:pt idx="1">
                  <c:v>129</c:v>
                </c:pt>
                <c:pt idx="2">
                  <c:v>27</c:v>
                </c:pt>
                <c:pt idx="3">
                  <c:v>23</c:v>
                </c:pt>
                <c:pt idx="4">
                  <c:v>18</c:v>
                </c:pt>
                <c:pt idx="5">
                  <c:v>11</c:v>
                </c:pt>
                <c:pt idx="6">
                  <c:v>5</c:v>
                </c:pt>
                <c:pt idx="7">
                  <c:v>4</c:v>
                </c:pt>
                <c:pt idx="8">
                  <c:v>4</c:v>
                </c:pt>
                <c:pt idx="9">
                  <c:v>3</c:v>
                </c:pt>
                <c:pt idx="10">
                  <c:v>3</c:v>
                </c:pt>
                <c:pt idx="11">
                  <c:v>3</c:v>
                </c:pt>
                <c:pt idx="12">
                  <c:v>3</c:v>
                </c:pt>
                <c:pt idx="13">
                  <c:v>3</c:v>
                </c:pt>
                <c:pt idx="14">
                  <c:v>1</c:v>
                </c:pt>
              </c:numCache>
            </c:numRef>
          </c:val>
        </c:ser>
        <c:dLbls>
          <c:showLegendKey val="0"/>
          <c:showVal val="0"/>
          <c:showCatName val="0"/>
          <c:showSerName val="0"/>
          <c:showPercent val="0"/>
          <c:showBubbleSize val="0"/>
        </c:dLbls>
        <c:gapWidth val="75"/>
        <c:overlap val="40"/>
        <c:axId val="153034752"/>
        <c:axId val="153036288"/>
      </c:barChart>
      <c:catAx>
        <c:axId val="153034752"/>
        <c:scaling>
          <c:orientation val="minMax"/>
        </c:scaling>
        <c:delete val="0"/>
        <c:axPos val="b"/>
        <c:numFmt formatCode="General" sourceLinked="0"/>
        <c:majorTickMark val="none"/>
        <c:minorTickMark val="none"/>
        <c:tickLblPos val="nextTo"/>
        <c:txPr>
          <a:bodyPr rot="-5400000" vert="horz"/>
          <a:lstStyle/>
          <a:p>
            <a:pPr>
              <a:defRPr/>
            </a:pPr>
            <a:endParaRPr lang="lt-LT"/>
          </a:p>
        </c:txPr>
        <c:crossAx val="153036288"/>
        <c:crosses val="autoZero"/>
        <c:auto val="1"/>
        <c:lblAlgn val="ctr"/>
        <c:lblOffset val="100"/>
        <c:noMultiLvlLbl val="0"/>
      </c:catAx>
      <c:valAx>
        <c:axId val="153036288"/>
        <c:scaling>
          <c:orientation val="minMax"/>
        </c:scaling>
        <c:delete val="0"/>
        <c:axPos val="l"/>
        <c:majorGridlines/>
        <c:numFmt formatCode="General" sourceLinked="1"/>
        <c:majorTickMark val="none"/>
        <c:minorTickMark val="none"/>
        <c:tickLblPos val="nextTo"/>
        <c:crossAx val="153034752"/>
        <c:crosses val="autoZero"/>
        <c:crossBetween val="between"/>
      </c:valAx>
    </c:plotArea>
    <c:plotVisOnly val="1"/>
    <c:dispBlanksAs val="gap"/>
    <c:showDLblsOverMax val="0"/>
  </c:chart>
  <c:txPr>
    <a:bodyPr/>
    <a:lstStyle/>
    <a:p>
      <a:pPr>
        <a:defRPr sz="1200">
          <a:latin typeface="Times New Roman" panose="02020603050405020304" pitchFamily="18" charset="0"/>
          <a:cs typeface="Times New Roman" panose="02020603050405020304" pitchFamily="18" charset="0"/>
        </a:defRPr>
      </a:pPr>
      <a:endParaRPr lang="lt-LT"/>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7377370859382903E-2"/>
          <c:y val="8.7243069094097389E-2"/>
          <c:w val="0.85246981627296592"/>
          <c:h val="0.50092884222805478"/>
        </c:manualLayout>
      </c:layout>
      <c:lineChart>
        <c:grouping val="standard"/>
        <c:varyColors val="0"/>
        <c:ser>
          <c:idx val="0"/>
          <c:order val="0"/>
          <c:tx>
            <c:strRef>
              <c:f>'lankytoju statistika'!$K$59</c:f>
              <c:strCache>
                <c:ptCount val="1"/>
                <c:pt idx="0">
                  <c:v>2018 m.</c:v>
                </c:pt>
              </c:strCache>
            </c:strRef>
          </c:tx>
          <c:dLbls>
            <c:dLbl>
              <c:idx val="0"/>
              <c:layout>
                <c:manualLayout>
                  <c:x val="-4.320380319231306E-2"/>
                  <c:y val="-4.3509459516972555E-2"/>
                </c:manualLayout>
              </c:layout>
              <c:showLegendKey val="0"/>
              <c:showVal val="1"/>
              <c:showCatName val="0"/>
              <c:showSerName val="0"/>
              <c:showPercent val="0"/>
              <c:showBubbleSize val="0"/>
            </c:dLbl>
            <c:dLbl>
              <c:idx val="1"/>
              <c:layout>
                <c:manualLayout>
                  <c:x val="-5.434576634609866E-2"/>
                  <c:y val="-1.9686673058965199E-2"/>
                </c:manualLayout>
              </c:layout>
              <c:showLegendKey val="0"/>
              <c:showVal val="1"/>
              <c:showCatName val="0"/>
              <c:showSerName val="0"/>
              <c:showPercent val="0"/>
              <c:showBubbleSize val="0"/>
            </c:dLbl>
            <c:dLbl>
              <c:idx val="2"/>
              <c:layout>
                <c:manualLayout>
                  <c:x val="-2.8176361477060177E-2"/>
                  <c:y val="1.1992444403275595E-2"/>
                </c:manualLayout>
              </c:layout>
              <c:showLegendKey val="0"/>
              <c:showVal val="1"/>
              <c:showCatName val="0"/>
              <c:showSerName val="0"/>
              <c:showPercent val="0"/>
              <c:showBubbleSize val="0"/>
            </c:dLbl>
            <c:dLbl>
              <c:idx val="3"/>
              <c:layout>
                <c:manualLayout>
                  <c:x val="-3.005482342939143E-2"/>
                  <c:y val="-2.3707180849077972E-2"/>
                </c:manualLayout>
              </c:layout>
              <c:showLegendKey val="0"/>
              <c:showVal val="1"/>
              <c:showCatName val="0"/>
              <c:showSerName val="0"/>
              <c:showPercent val="0"/>
              <c:showBubbleSize val="0"/>
            </c:dLbl>
            <c:dLbl>
              <c:idx val="4"/>
              <c:layout>
                <c:manualLayout>
                  <c:x val="-3.1947496500339144E-2"/>
                  <c:y val="2.7704480533948864E-2"/>
                </c:manualLayout>
              </c:layout>
              <c:showLegendKey val="0"/>
              <c:showVal val="1"/>
              <c:showCatName val="0"/>
              <c:showSerName val="0"/>
              <c:showPercent val="0"/>
              <c:showBubbleSize val="0"/>
            </c:dLbl>
            <c:dLbl>
              <c:idx val="5"/>
              <c:layout>
                <c:manualLayout>
                  <c:x val="-3.9418430270183949E-2"/>
                  <c:y val="-4.3509459516972555E-2"/>
                </c:manualLayout>
              </c:layout>
              <c:showLegendKey val="0"/>
              <c:showVal val="1"/>
              <c:showCatName val="0"/>
              <c:showSerName val="0"/>
              <c:showPercent val="0"/>
              <c:showBubbleSize val="0"/>
            </c:dLbl>
            <c:dLbl>
              <c:idx val="6"/>
              <c:layout>
                <c:manualLayout>
                  <c:x val="-5.6352793930108926E-2"/>
                  <c:y val="-1.5804787232718647E-2"/>
                </c:manualLayout>
              </c:layout>
              <c:showLegendKey val="0"/>
              <c:showVal val="1"/>
              <c:showCatName val="0"/>
              <c:showSerName val="0"/>
              <c:showPercent val="0"/>
              <c:showBubbleSize val="0"/>
            </c:dLbl>
            <c:dLbl>
              <c:idx val="7"/>
              <c:layout>
                <c:manualLayout>
                  <c:x val="-3.005482342939143E-2"/>
                  <c:y val="-1.5804787232718647E-2"/>
                </c:manualLayout>
              </c:layout>
              <c:showLegendKey val="0"/>
              <c:showVal val="1"/>
              <c:showCatName val="0"/>
              <c:showSerName val="0"/>
              <c:showPercent val="0"/>
              <c:showBubbleSize val="0"/>
            </c:dLbl>
            <c:dLbl>
              <c:idx val="8"/>
              <c:layout>
                <c:manualLayout>
                  <c:x val="-2.2541089181648141E-2"/>
                  <c:y val="-3.560712649490911E-2"/>
                </c:manualLayout>
              </c:layout>
              <c:showLegendKey val="0"/>
              <c:showVal val="1"/>
              <c:showCatName val="0"/>
              <c:showSerName val="0"/>
              <c:showPercent val="0"/>
              <c:showBubbleSize val="0"/>
            </c:dLbl>
            <c:dLbl>
              <c:idx val="9"/>
              <c:layout>
                <c:manualLayout>
                  <c:x val="-1.8784192057219328E-2"/>
                  <c:y val="-3.5630283973272517E-2"/>
                </c:manualLayout>
              </c:layout>
              <c:showLegendKey val="0"/>
              <c:showVal val="1"/>
              <c:showCatName val="0"/>
              <c:showSerName val="0"/>
              <c:showPercent val="0"/>
              <c:showBubbleSize val="0"/>
            </c:dLbl>
            <c:dLbl>
              <c:idx val="10"/>
              <c:layout>
                <c:manualLayout>
                  <c:x val="-2.6297970500717499E-2"/>
                  <c:y val="-5.1365558506335604E-2"/>
                </c:manualLayout>
              </c:layout>
              <c:showLegendKey val="0"/>
              <c:showVal val="1"/>
              <c:showCatName val="0"/>
              <c:showSerName val="0"/>
              <c:showPercent val="0"/>
              <c:showBubbleSize val="0"/>
            </c:dLbl>
            <c:dLbl>
              <c:idx val="11"/>
              <c:layout>
                <c:manualLayout>
                  <c:x val="-3.193325860148899E-2"/>
                  <c:y val="-5.5409274006794532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'lankytoju statistika'!$J$60:$J$71</c:f>
              <c:strCache>
                <c:ptCount val="12"/>
                <c:pt idx="0">
                  <c:v>Sausis</c:v>
                </c:pt>
                <c:pt idx="1">
                  <c:v>Vasaris</c:v>
                </c:pt>
                <c:pt idx="2">
                  <c:v>Kovas</c:v>
                </c:pt>
                <c:pt idx="3">
                  <c:v>Balandis</c:v>
                </c:pt>
                <c:pt idx="4">
                  <c:v>Gegužė</c:v>
                </c:pt>
                <c:pt idx="5">
                  <c:v>Birželis</c:v>
                </c:pt>
                <c:pt idx="6">
                  <c:v>Liepa</c:v>
                </c:pt>
                <c:pt idx="7">
                  <c:v>Rugpjūtis</c:v>
                </c:pt>
                <c:pt idx="8">
                  <c:v>Rugsėjis</c:v>
                </c:pt>
                <c:pt idx="9">
                  <c:v>Spalis</c:v>
                </c:pt>
                <c:pt idx="10">
                  <c:v>Lapkritis</c:v>
                </c:pt>
                <c:pt idx="11">
                  <c:v>Gruodis</c:v>
                </c:pt>
              </c:strCache>
            </c:strRef>
          </c:cat>
          <c:val>
            <c:numRef>
              <c:f>'lankytoju statistika'!$K$60:$K$71</c:f>
              <c:numCache>
                <c:formatCode>General</c:formatCode>
                <c:ptCount val="12"/>
                <c:pt idx="0">
                  <c:v>384</c:v>
                </c:pt>
                <c:pt idx="1">
                  <c:v>523</c:v>
                </c:pt>
                <c:pt idx="2">
                  <c:v>523</c:v>
                </c:pt>
                <c:pt idx="3">
                  <c:v>343</c:v>
                </c:pt>
                <c:pt idx="4">
                  <c:v>469</c:v>
                </c:pt>
                <c:pt idx="5">
                  <c:v>743</c:v>
                </c:pt>
                <c:pt idx="6">
                  <c:v>1330</c:v>
                </c:pt>
                <c:pt idx="7">
                  <c:v>1414</c:v>
                </c:pt>
                <c:pt idx="8">
                  <c:v>741</c:v>
                </c:pt>
                <c:pt idx="9">
                  <c:v>290</c:v>
                </c:pt>
                <c:pt idx="10">
                  <c:v>113</c:v>
                </c:pt>
                <c:pt idx="11">
                  <c:v>166</c:v>
                </c:pt>
              </c:numCache>
            </c:numRef>
          </c:val>
          <c:smooth val="0"/>
        </c:ser>
        <c:ser>
          <c:idx val="1"/>
          <c:order val="1"/>
          <c:tx>
            <c:strRef>
              <c:f>'lankytoju statistika'!$L$59</c:f>
              <c:strCache>
                <c:ptCount val="1"/>
                <c:pt idx="0">
                  <c:v>2019 m.</c:v>
                </c:pt>
              </c:strCache>
            </c:strRef>
          </c:tx>
          <c:dLbls>
            <c:dLbl>
              <c:idx val="0"/>
              <c:layout>
                <c:manualLayout>
                  <c:x val="-4.8121602811647422E-2"/>
                  <c:y val="9.4942531900991146E-3"/>
                </c:manualLayout>
              </c:layout>
              <c:showLegendKey val="0"/>
              <c:showVal val="1"/>
              <c:showCatName val="0"/>
              <c:showSerName val="0"/>
              <c:showPercent val="0"/>
              <c:showBubbleSize val="0"/>
            </c:dLbl>
            <c:dLbl>
              <c:idx val="1"/>
              <c:layout>
                <c:manualLayout>
                  <c:x val="-3.5690155725917806E-2"/>
                  <c:y val="3.5745758426192736E-2"/>
                </c:manualLayout>
              </c:layout>
              <c:showLegendKey val="0"/>
              <c:showVal val="1"/>
              <c:showCatName val="0"/>
              <c:showSerName val="0"/>
              <c:showPercent val="0"/>
              <c:showBubbleSize val="0"/>
            </c:dLbl>
            <c:dLbl>
              <c:idx val="2"/>
              <c:layout>
                <c:manualLayout>
                  <c:x val="-3.379739587362203E-2"/>
                  <c:y val="-3.9396190657397002E-2"/>
                </c:manualLayout>
              </c:layout>
              <c:showLegendKey val="0"/>
              <c:showVal val="1"/>
              <c:showCatName val="0"/>
              <c:showSerName val="0"/>
              <c:showPercent val="0"/>
              <c:showBubbleSize val="0"/>
            </c:dLbl>
            <c:dLbl>
              <c:idx val="3"/>
              <c:layout>
                <c:manualLayout>
                  <c:x val="-3.005482342939143E-2"/>
                  <c:y val="7.9023936163593236E-3"/>
                </c:manualLayout>
              </c:layout>
              <c:showLegendKey val="0"/>
              <c:showVal val="1"/>
              <c:showCatName val="0"/>
              <c:showSerName val="0"/>
              <c:showPercent val="0"/>
              <c:showBubbleSize val="0"/>
            </c:dLbl>
            <c:dLbl>
              <c:idx val="4"/>
              <c:layout>
                <c:manualLayout>
                  <c:x val="-3.5240561043670279E-2"/>
                  <c:y val="-3.7752948510285676E-2"/>
                </c:manualLayout>
              </c:layout>
              <c:showLegendKey val="0"/>
              <c:showVal val="1"/>
              <c:showCatName val="0"/>
              <c:showSerName val="0"/>
              <c:showPercent val="0"/>
              <c:showBubbleSize val="0"/>
            </c:dLbl>
            <c:dLbl>
              <c:idx val="5"/>
              <c:layout>
                <c:manualLayout>
                  <c:x val="-4.1325530123008831E-2"/>
                  <c:y val="1.1853590424538986E-2"/>
                </c:manualLayout>
              </c:layout>
              <c:spPr/>
              <c:txPr>
                <a:bodyPr/>
                <a:lstStyle/>
                <a:p>
                  <a:pPr>
                    <a:defRPr b="0"/>
                  </a:pPr>
                  <a:endParaRPr lang="lt-LT"/>
                </a:p>
              </c:txPr>
              <c:showLegendKey val="0"/>
              <c:showVal val="1"/>
              <c:showCatName val="0"/>
              <c:showSerName val="0"/>
              <c:showPercent val="0"/>
              <c:showBubbleSize val="0"/>
            </c:dLbl>
            <c:dLbl>
              <c:idx val="6"/>
              <c:layout>
                <c:manualLayout>
                  <c:x val="-3.3811676358065354E-2"/>
                  <c:y val="3.951196808179662E-2"/>
                </c:manualLayout>
              </c:layout>
              <c:showLegendKey val="0"/>
              <c:showVal val="1"/>
              <c:showCatName val="0"/>
              <c:showSerName val="0"/>
              <c:showPercent val="0"/>
              <c:showBubbleSize val="0"/>
            </c:dLbl>
            <c:dLbl>
              <c:idx val="7"/>
              <c:layout>
                <c:manualLayout>
                  <c:x val="-3.9446955751076249E-2"/>
                  <c:y val="1.975598404089831E-2"/>
                </c:manualLayout>
              </c:layout>
              <c:showLegendKey val="0"/>
              <c:showVal val="1"/>
              <c:showCatName val="0"/>
              <c:showSerName val="0"/>
              <c:showPercent val="0"/>
              <c:showBubbleSize val="0"/>
            </c:dLbl>
            <c:dLbl>
              <c:idx val="8"/>
              <c:layout>
                <c:manualLayout>
                  <c:x val="-1.5027411714695715E-2"/>
                  <c:y val="-2.3707180849077972E-2"/>
                </c:manualLayout>
              </c:layout>
              <c:showLegendKey val="0"/>
              <c:showVal val="1"/>
              <c:showCatName val="0"/>
              <c:showSerName val="0"/>
              <c:showPercent val="0"/>
              <c:showBubbleSize val="0"/>
            </c:dLbl>
            <c:dLbl>
              <c:idx val="9"/>
              <c:layout>
                <c:manualLayout>
                  <c:x val="-1.8784264643369644E-2"/>
                  <c:y val="-2.3707180849077972E-2"/>
                </c:manualLayout>
              </c:layout>
              <c:showLegendKey val="0"/>
              <c:showVal val="1"/>
              <c:showCatName val="0"/>
              <c:showSerName val="0"/>
              <c:showPercent val="0"/>
              <c:showBubbleSize val="0"/>
            </c:dLbl>
            <c:dLbl>
              <c:idx val="10"/>
              <c:layout>
                <c:manualLayout>
                  <c:x val="-4.1296805441167164E-2"/>
                  <c:y val="-2.763532103775538E-2"/>
                </c:manualLayout>
              </c:layout>
              <c:showLegendKey val="0"/>
              <c:showVal val="1"/>
              <c:showCatName val="0"/>
              <c:showSerName val="0"/>
              <c:showPercent val="0"/>
              <c:showBubbleSize val="0"/>
            </c:dLbl>
            <c:dLbl>
              <c:idx val="11"/>
              <c:layout>
                <c:manualLayout>
                  <c:x val="-2.8176396965054463E-2"/>
                  <c:y val="-7.9027047342182348E-3"/>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'lankytoju statistika'!$J$60:$J$71</c:f>
              <c:strCache>
                <c:ptCount val="12"/>
                <c:pt idx="0">
                  <c:v>Sausis</c:v>
                </c:pt>
                <c:pt idx="1">
                  <c:v>Vasaris</c:v>
                </c:pt>
                <c:pt idx="2">
                  <c:v>Kovas</c:v>
                </c:pt>
                <c:pt idx="3">
                  <c:v>Balandis</c:v>
                </c:pt>
                <c:pt idx="4">
                  <c:v>Gegužė</c:v>
                </c:pt>
                <c:pt idx="5">
                  <c:v>Birželis</c:v>
                </c:pt>
                <c:pt idx="6">
                  <c:v>Liepa</c:v>
                </c:pt>
                <c:pt idx="7">
                  <c:v>Rugpjūtis</c:v>
                </c:pt>
                <c:pt idx="8">
                  <c:v>Rugsėjis</c:v>
                </c:pt>
                <c:pt idx="9">
                  <c:v>Spalis</c:v>
                </c:pt>
                <c:pt idx="10">
                  <c:v>Lapkritis</c:v>
                </c:pt>
                <c:pt idx="11">
                  <c:v>Gruodis</c:v>
                </c:pt>
              </c:strCache>
            </c:strRef>
          </c:cat>
          <c:val>
            <c:numRef>
              <c:f>'lankytoju statistika'!$L$60:$L$71</c:f>
              <c:numCache>
                <c:formatCode>General</c:formatCode>
                <c:ptCount val="12"/>
                <c:pt idx="0">
                  <c:v>372</c:v>
                </c:pt>
                <c:pt idx="1">
                  <c:v>460</c:v>
                </c:pt>
                <c:pt idx="2">
                  <c:v>584</c:v>
                </c:pt>
                <c:pt idx="3">
                  <c:v>289</c:v>
                </c:pt>
                <c:pt idx="4">
                  <c:v>565</c:v>
                </c:pt>
                <c:pt idx="5">
                  <c:v>725</c:v>
                </c:pt>
                <c:pt idx="6">
                  <c:v>1323</c:v>
                </c:pt>
                <c:pt idx="7">
                  <c:v>1351</c:v>
                </c:pt>
                <c:pt idx="8">
                  <c:v>612</c:v>
                </c:pt>
                <c:pt idx="9">
                  <c:v>81</c:v>
                </c:pt>
                <c:pt idx="10">
                  <c:v>58</c:v>
                </c:pt>
                <c:pt idx="11">
                  <c:v>113</c:v>
                </c:pt>
              </c:numCache>
            </c:numRef>
          </c:val>
          <c:smooth val="0"/>
        </c:ser>
        <c:ser>
          <c:idx val="2"/>
          <c:order val="2"/>
          <c:tx>
            <c:strRef>
              <c:f>'lankytoju statistika'!$M$59</c:f>
              <c:strCache>
                <c:ptCount val="1"/>
                <c:pt idx="0">
                  <c:v>2020 m</c:v>
                </c:pt>
              </c:strCache>
            </c:strRef>
          </c:tx>
          <c:dLbls>
            <c:dLbl>
              <c:idx val="0"/>
              <c:layout>
                <c:manualLayout>
                  <c:x val="-3.2274472716817007E-2"/>
                  <c:y val="4.9164088536675817E-2"/>
                </c:manualLayout>
              </c:layout>
              <c:showLegendKey val="0"/>
              <c:showVal val="1"/>
              <c:showCatName val="0"/>
              <c:showSerName val="0"/>
              <c:showPercent val="0"/>
              <c:showBubbleSize val="0"/>
            </c:dLbl>
            <c:dLbl>
              <c:idx val="1"/>
              <c:layout>
                <c:manualLayout>
                  <c:x val="-2.2612572240823636E-2"/>
                  <c:y val="-2.8236476658513567E-2"/>
                </c:manualLayout>
              </c:layout>
              <c:showLegendKey val="0"/>
              <c:showVal val="1"/>
              <c:showCatName val="0"/>
              <c:showSerName val="0"/>
              <c:showPercent val="0"/>
              <c:showBubbleSize val="0"/>
            </c:dLbl>
            <c:dLbl>
              <c:idx val="2"/>
              <c:layout>
                <c:manualLayout>
                  <c:x val="-3.8570011616662597E-2"/>
                  <c:y val="4.1871174805924678E-2"/>
                </c:manualLayout>
              </c:layout>
              <c:showLegendKey val="0"/>
              <c:showVal val="1"/>
              <c:showCatName val="0"/>
              <c:showSerName val="0"/>
              <c:showPercent val="0"/>
              <c:showBubbleSize val="0"/>
            </c:dLbl>
            <c:dLbl>
              <c:idx val="3"/>
              <c:layout>
                <c:manualLayout>
                  <c:x val="-1.1111111111111112E-2"/>
                  <c:y val="0"/>
                </c:manualLayout>
              </c:layout>
              <c:showLegendKey val="0"/>
              <c:showVal val="1"/>
              <c:showCatName val="0"/>
              <c:showSerName val="0"/>
              <c:showPercent val="0"/>
              <c:showBubbleSize val="0"/>
            </c:dLbl>
            <c:dLbl>
              <c:idx val="4"/>
              <c:layout>
                <c:manualLayout>
                  <c:x val="-1.3889107611548556E-2"/>
                  <c:y val="1.0182744177394629E-2"/>
                </c:manualLayout>
              </c:layout>
              <c:showLegendKey val="0"/>
              <c:showVal val="1"/>
              <c:showCatName val="0"/>
              <c:showSerName val="0"/>
              <c:showPercent val="0"/>
              <c:showBubbleSize val="0"/>
            </c:dLbl>
            <c:dLbl>
              <c:idx val="5"/>
              <c:layout>
                <c:manualLayout>
                  <c:x val="-1.3148985250358819E-2"/>
                  <c:y val="1.975598404089831E-2"/>
                </c:manualLayout>
              </c:layout>
              <c:showLegendKey val="0"/>
              <c:showVal val="1"/>
              <c:showCatName val="0"/>
              <c:showSerName val="0"/>
              <c:showPercent val="0"/>
              <c:showBubbleSize val="0"/>
            </c:dLbl>
            <c:dLbl>
              <c:idx val="6"/>
              <c:layout>
                <c:manualLayout>
                  <c:x val="-6.1147959217373454E-2"/>
                  <c:y val="-3.7379925345296779E-2"/>
                </c:manualLayout>
              </c:layout>
              <c:showLegendKey val="0"/>
              <c:showVal val="1"/>
              <c:showCatName val="0"/>
              <c:showSerName val="0"/>
              <c:showPercent val="0"/>
              <c:showBubbleSize val="0"/>
            </c:dLbl>
            <c:dLbl>
              <c:idx val="7"/>
              <c:layout>
                <c:manualLayout>
                  <c:x val="-1.4691897006268932E-2"/>
                  <c:y val="-2.2106003670147381E-2"/>
                </c:manualLayout>
              </c:layout>
              <c:showLegendKey val="0"/>
              <c:showVal val="1"/>
              <c:showCatName val="0"/>
              <c:showSerName val="0"/>
              <c:showPercent val="0"/>
              <c:showBubbleSize val="0"/>
            </c:dLbl>
            <c:dLbl>
              <c:idx val="8"/>
              <c:layout>
                <c:manualLayout>
                  <c:x val="-4.3203808679750176E-2"/>
                  <c:y val="1.5804787232718647E-2"/>
                </c:manualLayout>
              </c:layout>
              <c:showLegendKey val="0"/>
              <c:showVal val="1"/>
              <c:showCatName val="0"/>
              <c:showSerName val="0"/>
              <c:showPercent val="0"/>
              <c:showBubbleSize val="0"/>
            </c:dLbl>
            <c:dLbl>
              <c:idx val="9"/>
              <c:layout>
                <c:manualLayout>
                  <c:x val="-4.5053702565595981E-2"/>
                  <c:y val="-4.6314956726809352E-5"/>
                </c:manualLayout>
              </c:layout>
              <c:showLegendKey val="0"/>
              <c:showVal val="1"/>
              <c:showCatName val="0"/>
              <c:showSerName val="0"/>
              <c:showPercent val="0"/>
              <c:showBubbleSize val="0"/>
            </c:dLbl>
            <c:dLbl>
              <c:idx val="10"/>
              <c:layout>
                <c:manualLayout>
                  <c:x val="-2.6297970500717499E-2"/>
                  <c:y val="0"/>
                </c:manualLayout>
              </c:layout>
              <c:showLegendKey val="0"/>
              <c:showVal val="1"/>
              <c:showCatName val="0"/>
              <c:showSerName val="0"/>
              <c:showPercent val="0"/>
              <c:showBubbleSize val="0"/>
            </c:dLbl>
            <c:txPr>
              <a:bodyPr/>
              <a:lstStyle/>
              <a:p>
                <a:pPr>
                  <a:defRPr b="1"/>
                </a:pPr>
                <a:endParaRPr lang="lt-LT"/>
              </a:p>
            </c:txPr>
            <c:showLegendKey val="0"/>
            <c:showVal val="1"/>
            <c:showCatName val="0"/>
            <c:showSerName val="0"/>
            <c:showPercent val="0"/>
            <c:showBubbleSize val="0"/>
            <c:showLeaderLines val="0"/>
          </c:dLbls>
          <c:cat>
            <c:strRef>
              <c:f>'lankytoju statistika'!$J$60:$J$71</c:f>
              <c:strCache>
                <c:ptCount val="12"/>
                <c:pt idx="0">
                  <c:v>Sausis</c:v>
                </c:pt>
                <c:pt idx="1">
                  <c:v>Vasaris</c:v>
                </c:pt>
                <c:pt idx="2">
                  <c:v>Kovas</c:v>
                </c:pt>
                <c:pt idx="3">
                  <c:v>Balandis</c:v>
                </c:pt>
                <c:pt idx="4">
                  <c:v>Gegužė</c:v>
                </c:pt>
                <c:pt idx="5">
                  <c:v>Birželis</c:v>
                </c:pt>
                <c:pt idx="6">
                  <c:v>Liepa</c:v>
                </c:pt>
                <c:pt idx="7">
                  <c:v>Rugpjūtis</c:v>
                </c:pt>
                <c:pt idx="8">
                  <c:v>Rugsėjis</c:v>
                </c:pt>
                <c:pt idx="9">
                  <c:v>Spalis</c:v>
                </c:pt>
                <c:pt idx="10">
                  <c:v>Lapkritis</c:v>
                </c:pt>
                <c:pt idx="11">
                  <c:v>Gruodis</c:v>
                </c:pt>
              </c:strCache>
            </c:strRef>
          </c:cat>
          <c:val>
            <c:numRef>
              <c:f>'lankytoju statistika'!$M$60:$M$71</c:f>
              <c:numCache>
                <c:formatCode>General</c:formatCode>
                <c:ptCount val="12"/>
                <c:pt idx="0">
                  <c:v>386</c:v>
                </c:pt>
                <c:pt idx="1">
                  <c:v>521</c:v>
                </c:pt>
                <c:pt idx="2">
                  <c:v>274</c:v>
                </c:pt>
                <c:pt idx="3">
                  <c:v>0</c:v>
                </c:pt>
                <c:pt idx="4">
                  <c:v>45</c:v>
                </c:pt>
                <c:pt idx="5">
                  <c:v>554</c:v>
                </c:pt>
                <c:pt idx="6">
                  <c:v>1732</c:v>
                </c:pt>
                <c:pt idx="7">
                  <c:v>1649</c:v>
                </c:pt>
                <c:pt idx="8">
                  <c:v>612</c:v>
                </c:pt>
                <c:pt idx="9">
                  <c:v>84</c:v>
                </c:pt>
                <c:pt idx="10">
                  <c:v>21</c:v>
                </c:pt>
                <c:pt idx="11">
                  <c:v>0</c:v>
                </c:pt>
              </c:numCache>
            </c:numRef>
          </c:val>
          <c:smooth val="0"/>
        </c:ser>
        <c:dLbls>
          <c:showLegendKey val="0"/>
          <c:showVal val="1"/>
          <c:showCatName val="0"/>
          <c:showSerName val="0"/>
          <c:showPercent val="0"/>
          <c:showBubbleSize val="0"/>
        </c:dLbls>
        <c:marker val="1"/>
        <c:smooth val="0"/>
        <c:axId val="154253568"/>
        <c:axId val="154288128"/>
      </c:lineChart>
      <c:catAx>
        <c:axId val="154253568"/>
        <c:scaling>
          <c:orientation val="minMax"/>
        </c:scaling>
        <c:delete val="0"/>
        <c:axPos val="b"/>
        <c:majorTickMark val="none"/>
        <c:minorTickMark val="none"/>
        <c:tickLblPos val="nextTo"/>
        <c:txPr>
          <a:bodyPr rot="-5400000" vert="horz"/>
          <a:lstStyle/>
          <a:p>
            <a:pPr>
              <a:defRPr sz="1200"/>
            </a:pPr>
            <a:endParaRPr lang="lt-LT"/>
          </a:p>
        </c:txPr>
        <c:crossAx val="154288128"/>
        <c:crosses val="autoZero"/>
        <c:auto val="1"/>
        <c:lblAlgn val="ctr"/>
        <c:lblOffset val="100"/>
        <c:noMultiLvlLbl val="0"/>
      </c:catAx>
      <c:valAx>
        <c:axId val="154288128"/>
        <c:scaling>
          <c:orientation val="minMax"/>
        </c:scaling>
        <c:delete val="0"/>
        <c:axPos val="l"/>
        <c:majorGridlines>
          <c:spPr>
            <a:ln w="3175"/>
          </c:spPr>
        </c:majorGridlines>
        <c:numFmt formatCode="General" sourceLinked="1"/>
        <c:majorTickMark val="none"/>
        <c:minorTickMark val="none"/>
        <c:tickLblPos val="nextTo"/>
        <c:txPr>
          <a:bodyPr/>
          <a:lstStyle/>
          <a:p>
            <a:pPr>
              <a:defRPr sz="1200"/>
            </a:pPr>
            <a:endParaRPr lang="lt-LT"/>
          </a:p>
        </c:txPr>
        <c:crossAx val="154253568"/>
        <c:crosses val="autoZero"/>
        <c:crossBetween val="between"/>
      </c:valAx>
    </c:plotArea>
    <c:legend>
      <c:legendPos val="r"/>
      <c:legendEntry>
        <c:idx val="2"/>
        <c:txPr>
          <a:bodyPr/>
          <a:lstStyle/>
          <a:p>
            <a:pPr>
              <a:defRPr sz="1200" b="1"/>
            </a:pPr>
            <a:endParaRPr lang="lt-LT"/>
          </a:p>
        </c:txPr>
      </c:legendEntry>
      <c:layout>
        <c:manualLayout>
          <c:xMode val="edge"/>
          <c:yMode val="edge"/>
          <c:x val="0.26411478505983516"/>
          <c:y val="0.855024171400389"/>
          <c:w val="0.43480214829938124"/>
          <c:h val="6.3633741573095245E-2"/>
        </c:manualLayout>
      </c:layout>
      <c:overlay val="0"/>
      <c:txPr>
        <a:bodyPr/>
        <a:lstStyle/>
        <a:p>
          <a:pPr>
            <a:defRPr sz="1200"/>
          </a:pPr>
          <a:endParaRPr lang="lt-LT"/>
        </a:p>
      </c:txPr>
    </c:legend>
    <c:plotVisOnly val="1"/>
    <c:dispBlanksAs val="gap"/>
    <c:showDLblsOverMax val="0"/>
  </c:chart>
  <c:txPr>
    <a:bodyPr/>
    <a:lstStyle/>
    <a:p>
      <a:pPr>
        <a:defRPr sz="1100">
          <a:latin typeface="Times New Roman" panose="02020603050405020304" pitchFamily="18" charset="0"/>
          <a:cs typeface="Times New Roman" panose="02020603050405020304" pitchFamily="18" charset="0"/>
        </a:defRPr>
      </a:pPr>
      <a:endParaRPr lang="lt-LT"/>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669939223936419E-2"/>
          <c:y val="9.7797744720114765E-2"/>
          <c:w val="0.84844312413262513"/>
          <c:h val="0.47636874254195022"/>
        </c:manualLayout>
      </c:layout>
      <c:lineChart>
        <c:grouping val="standard"/>
        <c:varyColors val="0"/>
        <c:ser>
          <c:idx val="0"/>
          <c:order val="0"/>
          <c:tx>
            <c:strRef>
              <c:f>'lankytoju statistika'!$K$74</c:f>
              <c:strCache>
                <c:ptCount val="1"/>
                <c:pt idx="0">
                  <c:v>2018 m.</c:v>
                </c:pt>
              </c:strCache>
            </c:strRef>
          </c:tx>
          <c:dLbls>
            <c:dLbl>
              <c:idx val="0"/>
              <c:layout>
                <c:manualLayout>
                  <c:x val="-4.0970751773671481E-2"/>
                  <c:y val="-4.6895488222828512E-2"/>
                </c:manualLayout>
              </c:layout>
              <c:showLegendKey val="0"/>
              <c:showVal val="1"/>
              <c:showCatName val="0"/>
              <c:showSerName val="0"/>
              <c:showPercent val="0"/>
              <c:showBubbleSize val="0"/>
            </c:dLbl>
            <c:dLbl>
              <c:idx val="1"/>
              <c:layout>
                <c:manualLayout>
                  <c:x val="-5.0264278877417565E-2"/>
                  <c:y val="-3.0815890124616486E-2"/>
                </c:manualLayout>
              </c:layout>
              <c:showLegendKey val="0"/>
              <c:showVal val="1"/>
              <c:showCatName val="0"/>
              <c:showSerName val="0"/>
              <c:showPercent val="0"/>
              <c:showBubbleSize val="0"/>
            </c:dLbl>
            <c:dLbl>
              <c:idx val="2"/>
              <c:layout>
                <c:manualLayout>
                  <c:x val="-4.2812447483980297E-2"/>
                  <c:y val="-3.5301057653157733E-2"/>
                </c:manualLayout>
              </c:layout>
              <c:showLegendKey val="0"/>
              <c:showVal val="1"/>
              <c:showCatName val="0"/>
              <c:showSerName val="0"/>
              <c:showPercent val="0"/>
              <c:showBubbleSize val="0"/>
            </c:dLbl>
            <c:dLbl>
              <c:idx val="3"/>
              <c:layout>
                <c:manualLayout>
                  <c:x val="-4.2954048939450401E-2"/>
                  <c:y val="-2.7984367636262209E-2"/>
                </c:manualLayout>
              </c:layout>
              <c:showLegendKey val="0"/>
              <c:showVal val="1"/>
              <c:showCatName val="0"/>
              <c:showSerName val="0"/>
              <c:showPercent val="0"/>
              <c:showBubbleSize val="0"/>
            </c:dLbl>
            <c:dLbl>
              <c:idx val="4"/>
              <c:layout>
                <c:manualLayout>
                  <c:x val="-4.4880785413744739E-2"/>
                  <c:y val="-2.3809516369979886E-2"/>
                </c:manualLayout>
              </c:layout>
              <c:showLegendKey val="0"/>
              <c:showVal val="1"/>
              <c:showCatName val="0"/>
              <c:showSerName val="0"/>
              <c:showPercent val="0"/>
              <c:showBubbleSize val="0"/>
            </c:dLbl>
            <c:dLbl>
              <c:idx val="5"/>
              <c:layout>
                <c:manualLayout>
                  <c:x val="-3.5445664642744935E-2"/>
                  <c:y val="-3.999269036314148E-2"/>
                </c:manualLayout>
              </c:layout>
              <c:showLegendKey val="0"/>
              <c:showVal val="1"/>
              <c:showCatName val="0"/>
              <c:showSerName val="0"/>
              <c:showPercent val="0"/>
              <c:showBubbleSize val="0"/>
            </c:dLbl>
            <c:dLbl>
              <c:idx val="6"/>
              <c:layout>
                <c:manualLayout>
                  <c:x val="-2.8050490883590462E-2"/>
                  <c:y val="4.3650780011629829E-2"/>
                </c:manualLayout>
              </c:layout>
              <c:showLegendKey val="0"/>
              <c:showVal val="1"/>
              <c:showCatName val="0"/>
              <c:showSerName val="0"/>
              <c:showPercent val="0"/>
              <c:showBubbleSize val="0"/>
            </c:dLbl>
            <c:dLbl>
              <c:idx val="7"/>
              <c:layout>
                <c:manualLayout>
                  <c:x val="-1.6830294530154277E-2"/>
                  <c:y val="-3.9682527283299809E-2"/>
                </c:manualLayout>
              </c:layout>
              <c:showLegendKey val="0"/>
              <c:showVal val="1"/>
              <c:showCatName val="0"/>
              <c:showSerName val="0"/>
              <c:showPercent val="0"/>
              <c:showBubbleSize val="0"/>
            </c:dLbl>
            <c:dLbl>
              <c:idx val="8"/>
              <c:layout>
                <c:manualLayout>
                  <c:x val="-1.6830294530154277E-2"/>
                  <c:y val="-3.1746021826639846E-2"/>
                </c:manualLayout>
              </c:layout>
              <c:showLegendKey val="0"/>
              <c:showVal val="1"/>
              <c:showCatName val="0"/>
              <c:showSerName val="0"/>
              <c:showPercent val="0"/>
              <c:showBubbleSize val="0"/>
            </c:dLbl>
            <c:dLbl>
              <c:idx val="9"/>
              <c:layout>
                <c:manualLayout>
                  <c:x val="-9.3501636278634868E-3"/>
                  <c:y val="-3.9682527283299808E-3"/>
                </c:manualLayout>
              </c:layout>
              <c:showLegendKey val="0"/>
              <c:showVal val="1"/>
              <c:showCatName val="0"/>
              <c:showSerName val="0"/>
              <c:showPercent val="0"/>
              <c:showBubbleSize val="0"/>
            </c:dLbl>
            <c:dLbl>
              <c:idx val="10"/>
              <c:layout>
                <c:manualLayout>
                  <c:x val="-7.4801309022907905E-3"/>
                  <c:y val="0"/>
                </c:manualLayout>
              </c:layout>
              <c:showLegendKey val="0"/>
              <c:showVal val="1"/>
              <c:showCatName val="0"/>
              <c:showSerName val="0"/>
              <c:showPercent val="0"/>
              <c:showBubbleSize val="0"/>
            </c:dLbl>
            <c:dLbl>
              <c:idx val="11"/>
              <c:layout>
                <c:manualLayout>
                  <c:x val="-1.1220196353436185E-2"/>
                  <c:y val="1.1904758184989943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'lankytoju statistika'!$J$75:$J$86</c:f>
              <c:strCache>
                <c:ptCount val="12"/>
                <c:pt idx="0">
                  <c:v>Sausis</c:v>
                </c:pt>
                <c:pt idx="1">
                  <c:v>Vasaris</c:v>
                </c:pt>
                <c:pt idx="2">
                  <c:v>Kovas</c:v>
                </c:pt>
                <c:pt idx="3">
                  <c:v>Balandis</c:v>
                </c:pt>
                <c:pt idx="4">
                  <c:v>Gegužė</c:v>
                </c:pt>
                <c:pt idx="5">
                  <c:v>Birželis</c:v>
                </c:pt>
                <c:pt idx="6">
                  <c:v>Liepa</c:v>
                </c:pt>
                <c:pt idx="7">
                  <c:v>Rugpjūtis</c:v>
                </c:pt>
                <c:pt idx="8">
                  <c:v>Rugsėjis</c:v>
                </c:pt>
                <c:pt idx="9">
                  <c:v>Spalis</c:v>
                </c:pt>
                <c:pt idx="10">
                  <c:v>Lapkritis</c:v>
                </c:pt>
                <c:pt idx="11">
                  <c:v>Gruodis</c:v>
                </c:pt>
              </c:strCache>
            </c:strRef>
          </c:cat>
          <c:val>
            <c:numRef>
              <c:f>'lankytoju statistika'!$K$75:$K$86</c:f>
              <c:numCache>
                <c:formatCode>General</c:formatCode>
                <c:ptCount val="12"/>
                <c:pt idx="0">
                  <c:v>6</c:v>
                </c:pt>
                <c:pt idx="1">
                  <c:v>14</c:v>
                </c:pt>
                <c:pt idx="2">
                  <c:v>11</c:v>
                </c:pt>
                <c:pt idx="3">
                  <c:v>45</c:v>
                </c:pt>
                <c:pt idx="4">
                  <c:v>83</c:v>
                </c:pt>
                <c:pt idx="5">
                  <c:v>120</c:v>
                </c:pt>
                <c:pt idx="6">
                  <c:v>97</c:v>
                </c:pt>
                <c:pt idx="7">
                  <c:v>118</c:v>
                </c:pt>
                <c:pt idx="8">
                  <c:v>52</c:v>
                </c:pt>
                <c:pt idx="9">
                  <c:v>14</c:v>
                </c:pt>
                <c:pt idx="10">
                  <c:v>14</c:v>
                </c:pt>
                <c:pt idx="11">
                  <c:v>17</c:v>
                </c:pt>
              </c:numCache>
            </c:numRef>
          </c:val>
          <c:smooth val="0"/>
        </c:ser>
        <c:ser>
          <c:idx val="1"/>
          <c:order val="1"/>
          <c:tx>
            <c:strRef>
              <c:f>'lankytoju statistika'!$L$74</c:f>
              <c:strCache>
                <c:ptCount val="1"/>
                <c:pt idx="0">
                  <c:v>2019 m.</c:v>
                </c:pt>
              </c:strCache>
            </c:strRef>
          </c:tx>
          <c:dLbls>
            <c:dLbl>
              <c:idx val="0"/>
              <c:layout>
                <c:manualLayout>
                  <c:x val="-1.8813558083631075E-2"/>
                  <c:y val="-4.8342347483465151E-2"/>
                </c:manualLayout>
              </c:layout>
              <c:showLegendKey val="0"/>
              <c:showVal val="1"/>
              <c:showCatName val="0"/>
              <c:showSerName val="0"/>
              <c:showPercent val="0"/>
              <c:showBubbleSize val="0"/>
            </c:dLbl>
            <c:dLbl>
              <c:idx val="1"/>
              <c:layout>
                <c:manualLayout>
                  <c:x val="-1.5158516180413991E-2"/>
                  <c:y val="-4.4580769884296143E-2"/>
                </c:manualLayout>
              </c:layout>
              <c:showLegendKey val="0"/>
              <c:showVal val="1"/>
              <c:showCatName val="0"/>
              <c:showSerName val="0"/>
              <c:showPercent val="0"/>
              <c:showBubbleSize val="0"/>
            </c:dLbl>
            <c:dLbl>
              <c:idx val="2"/>
              <c:layout>
                <c:manualLayout>
                  <c:x val="-1.5172690939114298E-2"/>
                  <c:y val="-5.2620729232456073E-2"/>
                </c:manualLayout>
              </c:layout>
              <c:showLegendKey val="0"/>
              <c:showVal val="1"/>
              <c:showCatName val="0"/>
              <c:showSerName val="0"/>
              <c:showPercent val="0"/>
              <c:showBubbleSize val="0"/>
            </c:dLbl>
            <c:dLbl>
              <c:idx val="3"/>
              <c:layout>
                <c:manualLayout>
                  <c:x val="-7.6076076076076072E-3"/>
                  <c:y val="-3.7615775991690099E-3"/>
                </c:manualLayout>
              </c:layout>
              <c:showLegendKey val="0"/>
              <c:showVal val="1"/>
              <c:showCatName val="0"/>
              <c:showSerName val="0"/>
              <c:showPercent val="0"/>
              <c:showBubbleSize val="0"/>
            </c:dLbl>
            <c:dLbl>
              <c:idx val="4"/>
              <c:layout>
                <c:manualLayout>
                  <c:x val="-1.8700327255726974E-2"/>
                  <c:y val="3.5714274554969831E-2"/>
                </c:manualLayout>
              </c:layout>
              <c:showLegendKey val="0"/>
              <c:showVal val="1"/>
              <c:showCatName val="0"/>
              <c:showSerName val="0"/>
              <c:showPercent val="0"/>
              <c:showBubbleSize val="0"/>
            </c:dLbl>
            <c:dLbl>
              <c:idx val="5"/>
              <c:layout>
                <c:manualLayout>
                  <c:x val="-2.244039270687237E-2"/>
                  <c:y val="5.1587285468289758E-2"/>
                </c:manualLayout>
              </c:layout>
              <c:showLegendKey val="0"/>
              <c:showVal val="1"/>
              <c:showCatName val="0"/>
              <c:showSerName val="0"/>
              <c:showPercent val="0"/>
              <c:showBubbleSize val="0"/>
            </c:dLbl>
            <c:dLbl>
              <c:idx val="6"/>
              <c:layout>
                <c:manualLayout>
                  <c:x val="-3.3660589060308554E-2"/>
                  <c:y val="-4.7619032739959773E-2"/>
                </c:manualLayout>
              </c:layout>
              <c:showLegendKey val="0"/>
              <c:showVal val="1"/>
              <c:showCatName val="0"/>
              <c:showSerName val="0"/>
              <c:showPercent val="0"/>
              <c:showBubbleSize val="0"/>
            </c:dLbl>
            <c:dLbl>
              <c:idx val="7"/>
              <c:layout>
                <c:manualLayout>
                  <c:x val="-3.7358234146555314E-2"/>
                  <c:y val="4.3857500553031739E-2"/>
                </c:manualLayout>
              </c:layout>
              <c:showLegendKey val="0"/>
              <c:showVal val="1"/>
              <c:showCatName val="0"/>
              <c:showSerName val="0"/>
              <c:showPercent val="0"/>
              <c:showBubbleSize val="0"/>
            </c:dLbl>
            <c:dLbl>
              <c:idx val="8"/>
              <c:layout>
                <c:manualLayout>
                  <c:x val="-9.3642547657146191E-3"/>
                  <c:y val="3.6127559575143388E-2"/>
                </c:manualLayout>
              </c:layout>
              <c:showLegendKey val="0"/>
              <c:showVal val="1"/>
              <c:showCatName val="0"/>
              <c:showSerName val="0"/>
              <c:showPercent val="0"/>
              <c:showBubbleSize val="0"/>
            </c:dLbl>
            <c:dLbl>
              <c:idx val="9"/>
              <c:layout>
                <c:manualLayout>
                  <c:x val="-9.3501636278634868E-3"/>
                  <c:y val="-2.7777769098309868E-2"/>
                </c:manualLayout>
              </c:layout>
              <c:showLegendKey val="0"/>
              <c:showVal val="1"/>
              <c:showCatName val="0"/>
              <c:showSerName val="0"/>
              <c:showPercent val="0"/>
              <c:showBubbleSize val="0"/>
            </c:dLbl>
            <c:dLbl>
              <c:idx val="10"/>
              <c:layout>
                <c:manualLayout>
                  <c:x val="-1.4960215690142697E-2"/>
                  <c:y val="-4.3857500553031739E-2"/>
                </c:manualLayout>
              </c:layout>
              <c:showLegendKey val="0"/>
              <c:showVal val="1"/>
              <c:showCatName val="0"/>
              <c:showSerName val="0"/>
              <c:showPercent val="0"/>
              <c:showBubbleSize val="0"/>
            </c:dLbl>
            <c:dLbl>
              <c:idx val="11"/>
              <c:layout>
                <c:manualLayout>
                  <c:x val="-1.6830260917852159E-2"/>
                  <c:y val="-4.3857500553031739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'lankytoju statistika'!$J$75:$J$86</c:f>
              <c:strCache>
                <c:ptCount val="12"/>
                <c:pt idx="0">
                  <c:v>Sausis</c:v>
                </c:pt>
                <c:pt idx="1">
                  <c:v>Vasaris</c:v>
                </c:pt>
                <c:pt idx="2">
                  <c:v>Kovas</c:v>
                </c:pt>
                <c:pt idx="3">
                  <c:v>Balandis</c:v>
                </c:pt>
                <c:pt idx="4">
                  <c:v>Gegužė</c:v>
                </c:pt>
                <c:pt idx="5">
                  <c:v>Birželis</c:v>
                </c:pt>
                <c:pt idx="6">
                  <c:v>Liepa</c:v>
                </c:pt>
                <c:pt idx="7">
                  <c:v>Rugpjūtis</c:v>
                </c:pt>
                <c:pt idx="8">
                  <c:v>Rugsėjis</c:v>
                </c:pt>
                <c:pt idx="9">
                  <c:v>Spalis</c:v>
                </c:pt>
                <c:pt idx="10">
                  <c:v>Lapkritis</c:v>
                </c:pt>
                <c:pt idx="11">
                  <c:v>Gruodis</c:v>
                </c:pt>
              </c:strCache>
            </c:strRef>
          </c:cat>
          <c:val>
            <c:numRef>
              <c:f>'lankytoju statistika'!$L$75:$L$86</c:f>
              <c:numCache>
                <c:formatCode>General</c:formatCode>
                <c:ptCount val="12"/>
                <c:pt idx="0">
                  <c:v>8</c:v>
                </c:pt>
                <c:pt idx="1">
                  <c:v>15</c:v>
                </c:pt>
                <c:pt idx="2">
                  <c:v>12</c:v>
                </c:pt>
                <c:pt idx="3">
                  <c:v>20</c:v>
                </c:pt>
                <c:pt idx="4">
                  <c:v>57</c:v>
                </c:pt>
                <c:pt idx="5">
                  <c:v>109</c:v>
                </c:pt>
                <c:pt idx="6">
                  <c:v>108</c:v>
                </c:pt>
                <c:pt idx="7">
                  <c:v>98</c:v>
                </c:pt>
                <c:pt idx="8">
                  <c:v>36</c:v>
                </c:pt>
                <c:pt idx="9">
                  <c:v>41</c:v>
                </c:pt>
                <c:pt idx="10">
                  <c:v>49</c:v>
                </c:pt>
                <c:pt idx="11">
                  <c:v>23</c:v>
                </c:pt>
              </c:numCache>
            </c:numRef>
          </c:val>
          <c:smooth val="0"/>
        </c:ser>
        <c:ser>
          <c:idx val="2"/>
          <c:order val="2"/>
          <c:tx>
            <c:strRef>
              <c:f>'lankytoju statistika'!$M$74</c:f>
              <c:strCache>
                <c:ptCount val="1"/>
                <c:pt idx="0">
                  <c:v>2020 m.</c:v>
                </c:pt>
              </c:strCache>
            </c:strRef>
          </c:tx>
          <c:dLbls>
            <c:dLbl>
              <c:idx val="0"/>
              <c:layout>
                <c:manualLayout>
                  <c:x val="-3.7400654511453933E-2"/>
                  <c:y val="2.3809516369979959E-2"/>
                </c:manualLayout>
              </c:layout>
              <c:showLegendKey val="0"/>
              <c:showVal val="1"/>
              <c:showCatName val="0"/>
              <c:showSerName val="0"/>
              <c:showPercent val="0"/>
              <c:showBubbleSize val="0"/>
            </c:dLbl>
            <c:dLbl>
              <c:idx val="1"/>
              <c:layout>
                <c:manualLayout>
                  <c:x val="-1.8700327255726974E-2"/>
                  <c:y val="0"/>
                </c:manualLayout>
              </c:layout>
              <c:showLegendKey val="0"/>
              <c:showVal val="1"/>
              <c:showCatName val="0"/>
              <c:showSerName val="0"/>
              <c:showPercent val="0"/>
              <c:showBubbleSize val="0"/>
            </c:dLbl>
            <c:dLbl>
              <c:idx val="2"/>
              <c:layout>
                <c:manualLayout>
                  <c:x val="-2.4310425432445069E-2"/>
                  <c:y val="0"/>
                </c:manualLayout>
              </c:layout>
              <c:showLegendKey val="0"/>
              <c:showVal val="1"/>
              <c:showCatName val="0"/>
              <c:showSerName val="0"/>
              <c:showPercent val="0"/>
              <c:showBubbleSize val="0"/>
            </c:dLbl>
            <c:dLbl>
              <c:idx val="3"/>
              <c:layout>
                <c:manualLayout>
                  <c:x val="-1.4960261804581581E-2"/>
                  <c:y val="-1.1904758184989943E-2"/>
                </c:manualLayout>
              </c:layout>
              <c:showLegendKey val="0"/>
              <c:showVal val="1"/>
              <c:showCatName val="0"/>
              <c:showSerName val="0"/>
              <c:showPercent val="0"/>
              <c:showBubbleSize val="0"/>
            </c:dLbl>
            <c:dLbl>
              <c:idx val="6"/>
              <c:layout>
                <c:manualLayout>
                  <c:x val="-2.2426221842280235E-2"/>
                  <c:y val="4.0922745473956211E-2"/>
                </c:manualLayout>
              </c:layout>
              <c:showLegendKey val="0"/>
              <c:showVal val="1"/>
              <c:showCatName val="0"/>
              <c:showSerName val="0"/>
              <c:showPercent val="0"/>
              <c:showBubbleSize val="0"/>
            </c:dLbl>
            <c:dLbl>
              <c:idx val="7"/>
              <c:layout>
                <c:manualLayout>
                  <c:x val="-3.3618143691136394E-2"/>
                  <c:y val="3.9889137174312396E-2"/>
                </c:manualLayout>
              </c:layout>
              <c:showLegendKey val="0"/>
              <c:showVal val="1"/>
              <c:showCatName val="0"/>
              <c:showSerName val="0"/>
              <c:showPercent val="0"/>
              <c:showBubbleSize val="0"/>
            </c:dLbl>
            <c:dLbl>
              <c:idx val="8"/>
              <c:layout>
                <c:manualLayout>
                  <c:x val="-3.3660589060308554E-2"/>
                  <c:y val="2.3809516369979959E-2"/>
                </c:manualLayout>
              </c:layout>
              <c:showLegendKey val="0"/>
              <c:showVal val="1"/>
              <c:showCatName val="0"/>
              <c:showSerName val="0"/>
              <c:showPercent val="0"/>
              <c:showBubbleSize val="0"/>
            </c:dLbl>
            <c:txPr>
              <a:bodyPr/>
              <a:lstStyle/>
              <a:p>
                <a:pPr>
                  <a:defRPr b="1"/>
                </a:pPr>
                <a:endParaRPr lang="lt-LT"/>
              </a:p>
            </c:txPr>
            <c:showLegendKey val="0"/>
            <c:showVal val="1"/>
            <c:showCatName val="0"/>
            <c:showSerName val="0"/>
            <c:showPercent val="0"/>
            <c:showBubbleSize val="0"/>
            <c:showLeaderLines val="0"/>
          </c:dLbls>
          <c:cat>
            <c:strRef>
              <c:f>'lankytoju statistika'!$J$75:$J$86</c:f>
              <c:strCache>
                <c:ptCount val="12"/>
                <c:pt idx="0">
                  <c:v>Sausis</c:v>
                </c:pt>
                <c:pt idx="1">
                  <c:v>Vasaris</c:v>
                </c:pt>
                <c:pt idx="2">
                  <c:v>Kovas</c:v>
                </c:pt>
                <c:pt idx="3">
                  <c:v>Balandis</c:v>
                </c:pt>
                <c:pt idx="4">
                  <c:v>Gegužė</c:v>
                </c:pt>
                <c:pt idx="5">
                  <c:v>Birželis</c:v>
                </c:pt>
                <c:pt idx="6">
                  <c:v>Liepa</c:v>
                </c:pt>
                <c:pt idx="7">
                  <c:v>Rugpjūtis</c:v>
                </c:pt>
                <c:pt idx="8">
                  <c:v>Rugsėjis</c:v>
                </c:pt>
                <c:pt idx="9">
                  <c:v>Spalis</c:v>
                </c:pt>
                <c:pt idx="10">
                  <c:v>Lapkritis</c:v>
                </c:pt>
                <c:pt idx="11">
                  <c:v>Gruodis</c:v>
                </c:pt>
              </c:strCache>
            </c:strRef>
          </c:cat>
          <c:val>
            <c:numRef>
              <c:f>'lankytoju statistika'!$M$75:$M$86</c:f>
              <c:numCache>
                <c:formatCode>General</c:formatCode>
                <c:ptCount val="12"/>
                <c:pt idx="0">
                  <c:v>11</c:v>
                </c:pt>
                <c:pt idx="1">
                  <c:v>7</c:v>
                </c:pt>
                <c:pt idx="2">
                  <c:v>0</c:v>
                </c:pt>
                <c:pt idx="3">
                  <c:v>0</c:v>
                </c:pt>
                <c:pt idx="4">
                  <c:v>0</c:v>
                </c:pt>
                <c:pt idx="5">
                  <c:v>4</c:v>
                </c:pt>
                <c:pt idx="6">
                  <c:v>53</c:v>
                </c:pt>
                <c:pt idx="7">
                  <c:v>45</c:v>
                </c:pt>
                <c:pt idx="8">
                  <c:v>14</c:v>
                </c:pt>
                <c:pt idx="9">
                  <c:v>0</c:v>
                </c:pt>
                <c:pt idx="10">
                  <c:v>0</c:v>
                </c:pt>
                <c:pt idx="11">
                  <c:v>0</c:v>
                </c:pt>
              </c:numCache>
            </c:numRef>
          </c:val>
          <c:smooth val="0"/>
        </c:ser>
        <c:dLbls>
          <c:showLegendKey val="0"/>
          <c:showVal val="1"/>
          <c:showCatName val="0"/>
          <c:showSerName val="0"/>
          <c:showPercent val="0"/>
          <c:showBubbleSize val="0"/>
        </c:dLbls>
        <c:marker val="1"/>
        <c:smooth val="0"/>
        <c:axId val="158071424"/>
        <c:axId val="160948608"/>
      </c:lineChart>
      <c:catAx>
        <c:axId val="158071424"/>
        <c:scaling>
          <c:orientation val="minMax"/>
        </c:scaling>
        <c:delete val="0"/>
        <c:axPos val="b"/>
        <c:majorTickMark val="none"/>
        <c:minorTickMark val="none"/>
        <c:tickLblPos val="nextTo"/>
        <c:txPr>
          <a:bodyPr rot="-5400000" vert="horz"/>
          <a:lstStyle/>
          <a:p>
            <a:pPr>
              <a:defRPr/>
            </a:pPr>
            <a:endParaRPr lang="lt-LT"/>
          </a:p>
        </c:txPr>
        <c:crossAx val="160948608"/>
        <c:crosses val="autoZero"/>
        <c:auto val="1"/>
        <c:lblAlgn val="ctr"/>
        <c:lblOffset val="100"/>
        <c:noMultiLvlLbl val="0"/>
      </c:catAx>
      <c:valAx>
        <c:axId val="160948608"/>
        <c:scaling>
          <c:orientation val="minMax"/>
        </c:scaling>
        <c:delete val="0"/>
        <c:axPos val="l"/>
        <c:majorGridlines/>
        <c:numFmt formatCode="General" sourceLinked="1"/>
        <c:majorTickMark val="none"/>
        <c:minorTickMark val="none"/>
        <c:tickLblPos val="nextTo"/>
        <c:crossAx val="158071424"/>
        <c:crosses val="autoZero"/>
        <c:crossBetween val="between"/>
      </c:valAx>
    </c:plotArea>
    <c:legend>
      <c:legendPos val="r"/>
      <c:legendEntry>
        <c:idx val="2"/>
        <c:txPr>
          <a:bodyPr/>
          <a:lstStyle/>
          <a:p>
            <a:pPr>
              <a:defRPr b="1"/>
            </a:pPr>
            <a:endParaRPr lang="lt-LT"/>
          </a:p>
        </c:txPr>
      </c:legendEntry>
      <c:layout>
        <c:manualLayout>
          <c:xMode val="edge"/>
          <c:yMode val="edge"/>
          <c:x val="0.25697047336123657"/>
          <c:y val="0.83041406373763793"/>
          <c:w val="0.43634415964484102"/>
          <c:h val="0.10504464909241061"/>
        </c:manualLayout>
      </c:layout>
      <c:overlay val="0"/>
    </c:legend>
    <c:plotVisOnly val="1"/>
    <c:dispBlanksAs val="gap"/>
    <c:showDLblsOverMax val="0"/>
  </c:chart>
  <c:txPr>
    <a:bodyPr/>
    <a:lstStyle/>
    <a:p>
      <a:pPr>
        <a:defRPr sz="1200">
          <a:latin typeface="Times New Roman" panose="02020603050405020304" pitchFamily="18" charset="0"/>
          <a:cs typeface="Times New Roman" panose="02020603050405020304" pitchFamily="18" charset="0"/>
        </a:defRPr>
      </a:pPr>
      <a:endParaRPr lang="lt-LT"/>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floor>
    <c:sideWall>
      <c:thickness val="0"/>
    </c:sideWall>
    <c:backWall>
      <c:thickness val="0"/>
    </c:backWall>
    <c:plotArea>
      <c:layout>
        <c:manualLayout>
          <c:layoutTarget val="inner"/>
          <c:xMode val="edge"/>
          <c:yMode val="edge"/>
          <c:x val="0.16237055111212539"/>
          <c:y val="0.2291664441291448"/>
          <c:w val="0.72441378149815128"/>
          <c:h val="0.69282985630536031"/>
        </c:manualLayout>
      </c:layout>
      <c:pie3DChart>
        <c:varyColors val="1"/>
        <c:ser>
          <c:idx val="0"/>
          <c:order val="0"/>
          <c:explosion val="25"/>
          <c:dPt>
            <c:idx val="0"/>
            <c:bubble3D val="0"/>
            <c:spPr>
              <a:solidFill>
                <a:schemeClr val="accent6">
                  <a:lumMod val="60000"/>
                  <a:lumOff val="40000"/>
                </a:schemeClr>
              </a:solidFill>
            </c:spPr>
          </c:dPt>
          <c:dPt>
            <c:idx val="1"/>
            <c:bubble3D val="0"/>
            <c:spPr>
              <a:solidFill>
                <a:srgbClr val="FFFF00"/>
              </a:solidFill>
            </c:spPr>
          </c:dPt>
          <c:dPt>
            <c:idx val="3"/>
            <c:bubble3D val="0"/>
            <c:spPr>
              <a:solidFill>
                <a:schemeClr val="accent4">
                  <a:lumMod val="60000"/>
                  <a:lumOff val="40000"/>
                </a:schemeClr>
              </a:solidFill>
            </c:spPr>
          </c:dPt>
          <c:dPt>
            <c:idx val="6"/>
            <c:bubble3D val="0"/>
            <c:spPr>
              <a:solidFill>
                <a:srgbClr val="92D050"/>
              </a:solidFill>
            </c:spPr>
          </c:dPt>
          <c:dLbls>
            <c:dLbl>
              <c:idx val="0"/>
              <c:layout>
                <c:manualLayout>
                  <c:x val="-0.1669220081345007"/>
                  <c:y val="1.7209907462031538E-2"/>
                </c:manualLayout>
              </c:layout>
              <c:showLegendKey val="0"/>
              <c:showVal val="0"/>
              <c:showCatName val="1"/>
              <c:showSerName val="0"/>
              <c:showPercent val="1"/>
              <c:showBubbleSize val="0"/>
              <c:extLst>
                <c:ext xmlns:c15="http://schemas.microsoft.com/office/drawing/2012/chart" uri="{CE6537A1-D6FC-4f65-9D91-7224C49458BB}"/>
              </c:extLst>
            </c:dLbl>
            <c:dLbl>
              <c:idx val="3"/>
              <c:layout>
                <c:manualLayout>
                  <c:x val="-2.2798901212021144E-2"/>
                  <c:y val="1.6374895814290479E-2"/>
                </c:manualLayout>
              </c:layout>
              <c:showLegendKey val="0"/>
              <c:showVal val="0"/>
              <c:showCatName val="1"/>
              <c:showSerName val="0"/>
              <c:showPercent val="1"/>
              <c:showBubbleSize val="0"/>
              <c:extLst>
                <c:ext xmlns:c15="http://schemas.microsoft.com/office/drawing/2012/chart" uri="{CE6537A1-D6FC-4f65-9D91-7224C49458BB}"/>
              </c:extLst>
            </c:dLbl>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extLst>
          </c:dLbls>
          <c:cat>
            <c:strRef>
              <c:f>'lankytoju statistika'!$G$60:$G$69</c:f>
              <c:strCache>
                <c:ptCount val="10"/>
                <c:pt idx="0">
                  <c:v>Latvija</c:v>
                </c:pt>
                <c:pt idx="1">
                  <c:v>Estija</c:v>
                </c:pt>
                <c:pt idx="2">
                  <c:v>Vokietija</c:v>
                </c:pt>
                <c:pt idx="3">
                  <c:v>Lenkija</c:v>
                </c:pt>
                <c:pt idx="4">
                  <c:v>Danija</c:v>
                </c:pt>
                <c:pt idx="5">
                  <c:v>Norvegija</c:v>
                </c:pt>
                <c:pt idx="6">
                  <c:v>Didžioji Britanija</c:v>
                </c:pt>
                <c:pt idx="7">
                  <c:v>Italija</c:v>
                </c:pt>
                <c:pt idx="8">
                  <c:v>Prancūzija</c:v>
                </c:pt>
                <c:pt idx="9">
                  <c:v>Suomija</c:v>
                </c:pt>
              </c:strCache>
            </c:strRef>
          </c:cat>
          <c:val>
            <c:numRef>
              <c:f>'lankytoju statistika'!$H$60:$H$69</c:f>
              <c:numCache>
                <c:formatCode>General</c:formatCode>
                <c:ptCount val="10"/>
                <c:pt idx="0">
                  <c:v>62</c:v>
                </c:pt>
                <c:pt idx="1">
                  <c:v>17</c:v>
                </c:pt>
                <c:pt idx="2">
                  <c:v>16</c:v>
                </c:pt>
                <c:pt idx="3">
                  <c:v>12</c:v>
                </c:pt>
                <c:pt idx="4">
                  <c:v>10</c:v>
                </c:pt>
                <c:pt idx="5">
                  <c:v>5</c:v>
                </c:pt>
                <c:pt idx="6">
                  <c:v>4</c:v>
                </c:pt>
                <c:pt idx="7">
                  <c:v>4</c:v>
                </c:pt>
                <c:pt idx="8">
                  <c:v>2</c:v>
                </c:pt>
                <c:pt idx="9">
                  <c:v>2</c:v>
                </c:pt>
              </c:numCache>
            </c:numRef>
          </c:val>
        </c:ser>
        <c:dLbls>
          <c:showLegendKey val="0"/>
          <c:showVal val="0"/>
          <c:showCatName val="1"/>
          <c:showSerName val="0"/>
          <c:showPercent val="1"/>
          <c:showBubbleSize val="0"/>
          <c:showLeaderLines val="1"/>
        </c:dLbls>
      </c:pie3DChart>
    </c:plotArea>
    <c:plotVisOnly val="1"/>
    <c:dispBlanksAs val="gap"/>
    <c:showDLblsOverMax val="0"/>
  </c:chart>
  <c:txPr>
    <a:bodyPr/>
    <a:lstStyle/>
    <a:p>
      <a:pPr>
        <a:defRPr sz="1200">
          <a:latin typeface="Times New Roman" panose="02020603050405020304" pitchFamily="18" charset="0"/>
          <a:cs typeface="Times New Roman" panose="02020603050405020304" pitchFamily="18" charset="0"/>
        </a:defRPr>
      </a:pPr>
      <a:endParaRPr lang="lt-LT"/>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invertIfNegative val="0"/>
          <c:dPt>
            <c:idx val="0"/>
            <c:invertIfNegative val="0"/>
            <c:bubble3D val="0"/>
            <c:spPr>
              <a:solidFill>
                <a:schemeClr val="accent1">
                  <a:lumMod val="60000"/>
                  <a:lumOff val="40000"/>
                </a:schemeClr>
              </a:solidFill>
            </c:spPr>
          </c:dPt>
          <c:dPt>
            <c:idx val="1"/>
            <c:invertIfNegative val="0"/>
            <c:bubble3D val="0"/>
            <c:spPr>
              <a:solidFill>
                <a:schemeClr val="accent6">
                  <a:lumMod val="60000"/>
                  <a:lumOff val="40000"/>
                </a:schemeClr>
              </a:solidFill>
            </c:spPr>
          </c:dPt>
          <c:dPt>
            <c:idx val="2"/>
            <c:invertIfNegative val="0"/>
            <c:bubble3D val="0"/>
            <c:spPr>
              <a:solidFill>
                <a:schemeClr val="accent3">
                  <a:lumMod val="60000"/>
                  <a:lumOff val="40000"/>
                </a:schemeClr>
              </a:solidFill>
            </c:spPr>
          </c:dPt>
          <c:dLbls>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Lapas3!$A$17:$A$19</c:f>
              <c:strCache>
                <c:ptCount val="3"/>
                <c:pt idx="0">
                  <c:v>2018 m.</c:v>
                </c:pt>
                <c:pt idx="1">
                  <c:v>2019 m.</c:v>
                </c:pt>
                <c:pt idx="2">
                  <c:v>2020 m.</c:v>
                </c:pt>
              </c:strCache>
            </c:strRef>
          </c:cat>
          <c:val>
            <c:numRef>
              <c:f>Lapas3!$B$17:$B$19</c:f>
              <c:numCache>
                <c:formatCode>General</c:formatCode>
                <c:ptCount val="3"/>
                <c:pt idx="0">
                  <c:v>93661</c:v>
                </c:pt>
                <c:pt idx="1">
                  <c:v>97497</c:v>
                </c:pt>
                <c:pt idx="2">
                  <c:v>80494</c:v>
                </c:pt>
              </c:numCache>
            </c:numRef>
          </c:val>
        </c:ser>
        <c:dLbls>
          <c:showLegendKey val="0"/>
          <c:showVal val="0"/>
          <c:showCatName val="0"/>
          <c:showSerName val="0"/>
          <c:showPercent val="0"/>
          <c:showBubbleSize val="0"/>
        </c:dLbls>
        <c:gapWidth val="75"/>
        <c:overlap val="40"/>
        <c:axId val="161146368"/>
        <c:axId val="161147904"/>
      </c:barChart>
      <c:catAx>
        <c:axId val="161146368"/>
        <c:scaling>
          <c:orientation val="minMax"/>
        </c:scaling>
        <c:delete val="0"/>
        <c:axPos val="b"/>
        <c:numFmt formatCode="General" sourceLinked="0"/>
        <c:majorTickMark val="none"/>
        <c:minorTickMark val="none"/>
        <c:tickLblPos val="nextTo"/>
        <c:crossAx val="161147904"/>
        <c:crosses val="autoZero"/>
        <c:auto val="1"/>
        <c:lblAlgn val="ctr"/>
        <c:lblOffset val="100"/>
        <c:noMultiLvlLbl val="0"/>
      </c:catAx>
      <c:valAx>
        <c:axId val="161147904"/>
        <c:scaling>
          <c:orientation val="minMax"/>
        </c:scaling>
        <c:delete val="0"/>
        <c:axPos val="l"/>
        <c:majorGridlines/>
        <c:numFmt formatCode="General" sourceLinked="1"/>
        <c:majorTickMark val="none"/>
        <c:minorTickMark val="none"/>
        <c:tickLblPos val="nextTo"/>
        <c:crossAx val="161146368"/>
        <c:crosses val="autoZero"/>
        <c:crossBetween val="between"/>
      </c:valAx>
    </c:plotArea>
    <c:plotVisOnly val="1"/>
    <c:dispBlanksAs val="gap"/>
    <c:showDLblsOverMax val="0"/>
  </c:chart>
  <c:txPr>
    <a:bodyPr/>
    <a:lstStyle/>
    <a:p>
      <a:pPr>
        <a:defRPr sz="1200">
          <a:latin typeface="Times New Roman" panose="02020603050405020304" pitchFamily="18" charset="0"/>
          <a:cs typeface="Times New Roman" panose="02020603050405020304" pitchFamily="18" charset="0"/>
        </a:defRPr>
      </a:pPr>
      <a:endParaRPr lang="lt-LT"/>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492509363295878"/>
          <c:y val="7.0782068862749237E-2"/>
          <c:w val="0.83063508213158743"/>
          <c:h val="0.56072919367024776"/>
        </c:manualLayout>
      </c:layout>
      <c:lineChart>
        <c:grouping val="standard"/>
        <c:varyColors val="0"/>
        <c:ser>
          <c:idx val="0"/>
          <c:order val="0"/>
          <c:tx>
            <c:strRef>
              <c:f>Lapas3!$B$2</c:f>
              <c:strCache>
                <c:ptCount val="1"/>
                <c:pt idx="0">
                  <c:v>2018 m. </c:v>
                </c:pt>
              </c:strCache>
            </c:strRef>
          </c:tx>
          <c:dLbls>
            <c:dLbl>
              <c:idx val="0"/>
              <c:layout>
                <c:manualLayout>
                  <c:x val="-5.0561797752808987E-2"/>
                  <c:y val="-4.301073944605123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3.9325842696629212E-2"/>
                  <c:y val="3.9100672223682936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2.2484675896398701E-2"/>
                  <c:y val="3.4985403338825549E-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2.4370066026731418E-2"/>
                  <c:y val="3.5053766107977481E-2"/>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3.3707828967553394E-2"/>
                  <c:y val="3.5327519674714217E-2"/>
                </c:manualLayout>
              </c:layout>
              <c:showLegendKey val="0"/>
              <c:showVal val="1"/>
              <c:showCatName val="0"/>
              <c:showSerName val="0"/>
              <c:showPercent val="0"/>
              <c:showBubbleSize val="0"/>
              <c:extLst>
                <c:ext xmlns:c15="http://schemas.microsoft.com/office/drawing/2012/chart" uri="{CE6537A1-D6FC-4f65-9D91-7224C49458BB}"/>
              </c:extLst>
            </c:dLbl>
            <c:dLbl>
              <c:idx val="5"/>
              <c:layout>
                <c:manualLayout>
                  <c:x val="-1.8726591760299557E-2"/>
                  <c:y val="-1.1730201667104881E-2"/>
                </c:manualLayout>
              </c:layout>
              <c:showLegendKey val="0"/>
              <c:showVal val="1"/>
              <c:showCatName val="0"/>
              <c:showSerName val="0"/>
              <c:showPercent val="0"/>
              <c:showBubbleSize val="0"/>
              <c:extLst>
                <c:ext xmlns:c15="http://schemas.microsoft.com/office/drawing/2012/chart" uri="{CE6537A1-D6FC-4f65-9D91-7224C49458BB}"/>
              </c:extLst>
            </c:dLbl>
            <c:dLbl>
              <c:idx val="6"/>
              <c:layout>
                <c:manualLayout>
                  <c:x val="-2.9937195156331118E-2"/>
                  <c:y val="3.13485645179684E-2"/>
                </c:manualLayout>
              </c:layout>
              <c:showLegendKey val="0"/>
              <c:showVal val="1"/>
              <c:showCatName val="0"/>
              <c:showSerName val="0"/>
              <c:showPercent val="0"/>
              <c:showBubbleSize val="0"/>
              <c:extLst>
                <c:ext xmlns:c15="http://schemas.microsoft.com/office/drawing/2012/chart" uri="{CE6537A1-D6FC-4f65-9D91-7224C49458BB}"/>
              </c:extLst>
            </c:dLbl>
            <c:dLbl>
              <c:idx val="7"/>
              <c:layout>
                <c:manualLayout>
                  <c:x val="-4.49438202247191E-2"/>
                  <c:y val="5.0830873890787817E-2"/>
                </c:manualLayout>
              </c:layout>
              <c:showLegendKey val="0"/>
              <c:showVal val="1"/>
              <c:showCatName val="0"/>
              <c:showSerName val="0"/>
              <c:showPercent val="0"/>
              <c:showBubbleSize val="0"/>
              <c:extLst>
                <c:ext xmlns:c15="http://schemas.microsoft.com/office/drawing/2012/chart" uri="{CE6537A1-D6FC-4f65-9D91-7224C49458BB}"/>
              </c:extLst>
            </c:dLbl>
            <c:dLbl>
              <c:idx val="8"/>
              <c:layout>
                <c:manualLayout>
                  <c:x val="-1.8726636737282146E-2"/>
                  <c:y val="-4.3079131720234101E-2"/>
                </c:manualLayout>
              </c:layout>
              <c:showLegendKey val="0"/>
              <c:showVal val="1"/>
              <c:showCatName val="0"/>
              <c:showSerName val="0"/>
              <c:showPercent val="0"/>
              <c:showBubbleSize val="0"/>
              <c:extLst>
                <c:ext xmlns:c15="http://schemas.microsoft.com/office/drawing/2012/chart" uri="{CE6537A1-D6FC-4f65-9D91-7224C49458BB}"/>
              </c:extLst>
            </c:dLbl>
            <c:dLbl>
              <c:idx val="9"/>
              <c:layout>
                <c:manualLayout>
                  <c:x val="-1.8726636737282146E-2"/>
                  <c:y val="-4.3079131720234143E-2"/>
                </c:manualLayout>
              </c:layout>
              <c:showLegendKey val="0"/>
              <c:showVal val="1"/>
              <c:showCatName val="0"/>
              <c:showSerName val="0"/>
              <c:showPercent val="0"/>
              <c:showBubbleSize val="0"/>
              <c:extLst>
                <c:ext xmlns:c15="http://schemas.microsoft.com/office/drawing/2012/chart" uri="{CE6537A1-D6FC-4f65-9D91-7224C49458BB}"/>
              </c:extLst>
            </c:dLbl>
            <c:dLbl>
              <c:idx val="10"/>
              <c:layout>
                <c:manualLayout>
                  <c:x val="-1.871389563573337E-2"/>
                  <c:y val="-3.9237507082050142E-2"/>
                </c:manualLayout>
              </c:layout>
              <c:showLegendKey val="0"/>
              <c:showVal val="1"/>
              <c:showCatName val="0"/>
              <c:showSerName val="0"/>
              <c:showPercent val="0"/>
              <c:showBubbleSize val="0"/>
              <c:extLst>
                <c:ext xmlns:c15="http://schemas.microsoft.com/office/drawing/2012/chart" uri="{CE6537A1-D6FC-4f65-9D91-7224C49458BB}"/>
              </c:extLst>
            </c:dLbl>
            <c:dLbl>
              <c:idx val="11"/>
              <c:layout>
                <c:manualLayout>
                  <c:x val="-2.2395341736114214E-2"/>
                  <c:y val="3.1143778700641552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Lapas3!$A$3:$A$14</c:f>
              <c:strCache>
                <c:ptCount val="12"/>
                <c:pt idx="0">
                  <c:v>Sausis</c:v>
                </c:pt>
                <c:pt idx="1">
                  <c:v>Vasaris</c:v>
                </c:pt>
                <c:pt idx="2">
                  <c:v>Kovas</c:v>
                </c:pt>
                <c:pt idx="3">
                  <c:v>Balandis</c:v>
                </c:pt>
                <c:pt idx="4">
                  <c:v>Gegužė</c:v>
                </c:pt>
                <c:pt idx="5">
                  <c:v>Birželis</c:v>
                </c:pt>
                <c:pt idx="6">
                  <c:v>Liepa</c:v>
                </c:pt>
                <c:pt idx="7">
                  <c:v>Rugpjūtis</c:v>
                </c:pt>
                <c:pt idx="8">
                  <c:v>Rugsėjis</c:v>
                </c:pt>
                <c:pt idx="9">
                  <c:v>Spalis</c:v>
                </c:pt>
                <c:pt idx="10">
                  <c:v>Lapkritis</c:v>
                </c:pt>
                <c:pt idx="11">
                  <c:v>Gruodis</c:v>
                </c:pt>
              </c:strCache>
            </c:strRef>
          </c:cat>
          <c:val>
            <c:numRef>
              <c:f>Lapas3!$B$3:$B$14</c:f>
              <c:numCache>
                <c:formatCode>General</c:formatCode>
                <c:ptCount val="12"/>
                <c:pt idx="0">
                  <c:v>6328</c:v>
                </c:pt>
                <c:pt idx="1">
                  <c:v>5765</c:v>
                </c:pt>
                <c:pt idx="2">
                  <c:v>6801</c:v>
                </c:pt>
                <c:pt idx="3">
                  <c:v>6892</c:v>
                </c:pt>
                <c:pt idx="4">
                  <c:v>8130</c:v>
                </c:pt>
                <c:pt idx="5">
                  <c:v>9741</c:v>
                </c:pt>
                <c:pt idx="6">
                  <c:v>9893</c:v>
                </c:pt>
                <c:pt idx="7">
                  <c:v>10632</c:v>
                </c:pt>
                <c:pt idx="8">
                  <c:v>7287</c:v>
                </c:pt>
                <c:pt idx="9">
                  <c:v>7476</c:v>
                </c:pt>
                <c:pt idx="10">
                  <c:v>7437</c:v>
                </c:pt>
                <c:pt idx="11">
                  <c:v>7279</c:v>
                </c:pt>
              </c:numCache>
            </c:numRef>
          </c:val>
          <c:smooth val="0"/>
        </c:ser>
        <c:ser>
          <c:idx val="1"/>
          <c:order val="1"/>
          <c:tx>
            <c:strRef>
              <c:f>Lapas3!$C$2</c:f>
              <c:strCache>
                <c:ptCount val="1"/>
                <c:pt idx="0">
                  <c:v>2019 m.</c:v>
                </c:pt>
              </c:strCache>
            </c:strRef>
          </c:tx>
          <c:dLbls>
            <c:dLbl>
              <c:idx val="0"/>
              <c:layout>
                <c:manualLayout>
                  <c:x val="-4.8689314096710817E-2"/>
                  <c:y val="3.5053766107977481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3.5580524344569285E-2"/>
                  <c:y val="-7.8201344447365873E-3"/>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1.6853932584269662E-2"/>
                  <c:y val="-3.5190605001314643E-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2.8089887640449437E-2"/>
                  <c:y val="-4.301073944605123E-2"/>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3.7453183520599252E-2"/>
                  <c:y val="-4.3011047325360083E-2"/>
                </c:manualLayout>
              </c:layout>
              <c:showLegendKey val="0"/>
              <c:showVal val="1"/>
              <c:showCatName val="0"/>
              <c:showSerName val="0"/>
              <c:showPercent val="0"/>
              <c:showBubbleSize val="0"/>
              <c:extLst>
                <c:ext xmlns:c15="http://schemas.microsoft.com/office/drawing/2012/chart" uri="{CE6537A1-D6FC-4f65-9D91-7224C49458BB}"/>
              </c:extLst>
            </c:dLbl>
            <c:dLbl>
              <c:idx val="5"/>
              <c:layout>
                <c:manualLayout>
                  <c:x val="-5.4256150327424341E-2"/>
                  <c:y val="-3.9100781543746271E-2"/>
                </c:manualLayout>
              </c:layout>
              <c:showLegendKey val="0"/>
              <c:showVal val="1"/>
              <c:showCatName val="0"/>
              <c:showSerName val="0"/>
              <c:showPercent val="0"/>
              <c:showBubbleSize val="0"/>
              <c:extLst>
                <c:ext xmlns:c15="http://schemas.microsoft.com/office/drawing/2012/chart" uri="{CE6537A1-D6FC-4f65-9D91-7224C49458BB}"/>
              </c:extLst>
            </c:dLbl>
            <c:dLbl>
              <c:idx val="6"/>
              <c:layout>
                <c:manualLayout>
                  <c:x val="-3.9338663604896976E-2"/>
                  <c:y val="4.6715063070704346E-2"/>
                </c:manualLayout>
              </c:layout>
              <c:showLegendKey val="0"/>
              <c:showVal val="1"/>
              <c:showCatName val="0"/>
              <c:showSerName val="0"/>
              <c:showPercent val="0"/>
              <c:showBubbleSize val="0"/>
              <c:extLst>
                <c:ext xmlns:c15="http://schemas.microsoft.com/office/drawing/2012/chart" uri="{CE6537A1-D6FC-4f65-9D91-7224C49458BB}"/>
              </c:extLst>
            </c:dLbl>
            <c:dLbl>
              <c:idx val="7"/>
              <c:layout>
                <c:manualLayout>
                  <c:x val="-9.4143559995577223E-3"/>
                  <c:y val="1.3702802843286216E-4"/>
                </c:manualLayout>
              </c:layout>
              <c:showLegendKey val="0"/>
              <c:showVal val="1"/>
              <c:showCatName val="0"/>
              <c:showSerName val="0"/>
              <c:showPercent val="0"/>
              <c:showBubbleSize val="0"/>
              <c:extLst>
                <c:ext xmlns:c15="http://schemas.microsoft.com/office/drawing/2012/chart" uri="{CE6537A1-D6FC-4f65-9D91-7224C49458BB}"/>
              </c:extLst>
            </c:dLbl>
            <c:dLbl>
              <c:idx val="8"/>
              <c:layout>
                <c:manualLayout>
                  <c:x val="-4.8701908748816504E-2"/>
                  <c:y val="3.5259156905562278E-2"/>
                </c:manualLayout>
              </c:layout>
              <c:showLegendKey val="0"/>
              <c:showVal val="1"/>
              <c:showCatName val="0"/>
              <c:showSerName val="0"/>
              <c:showPercent val="0"/>
              <c:showBubbleSize val="0"/>
              <c:extLst>
                <c:ext xmlns:c15="http://schemas.microsoft.com/office/drawing/2012/chart" uri="{CE6537A1-D6FC-4f65-9D91-7224C49458BB}"/>
              </c:extLst>
            </c:dLbl>
            <c:dLbl>
              <c:idx val="9"/>
              <c:layout>
                <c:manualLayout>
                  <c:x val="-5.5797237817053888E-3"/>
                  <c:y val="2.6891372467287962E-2"/>
                </c:manualLayout>
              </c:layout>
              <c:showLegendKey val="0"/>
              <c:showVal val="1"/>
              <c:showCatName val="0"/>
              <c:showSerName val="0"/>
              <c:showPercent val="0"/>
              <c:showBubbleSize val="0"/>
              <c:extLst>
                <c:ext xmlns:c15="http://schemas.microsoft.com/office/drawing/2012/chart" uri="{CE6537A1-D6FC-4f65-9D91-7224C49458BB}"/>
              </c:extLst>
            </c:dLbl>
            <c:dLbl>
              <c:idx val="10"/>
              <c:layout>
                <c:manualLayout>
                  <c:x val="-1.5006820882811888E-2"/>
                  <c:y val="3.1417532267378284E-2"/>
                </c:manualLayout>
              </c:layout>
              <c:showLegendKey val="0"/>
              <c:showVal val="1"/>
              <c:showCatName val="0"/>
              <c:showSerName val="0"/>
              <c:showPercent val="0"/>
              <c:showBubbleSize val="0"/>
              <c:extLst>
                <c:ext xmlns:c15="http://schemas.microsoft.com/office/drawing/2012/chart" uri="{CE6537A1-D6FC-4f65-9D91-7224C49458BB}"/>
              </c:extLst>
            </c:dLbl>
            <c:dLbl>
              <c:idx val="11"/>
              <c:layout>
                <c:manualLayout>
                  <c:x val="-1.8726636737282146E-2"/>
                  <c:y val="-4.3147494489386075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Lapas3!$A$3:$A$14</c:f>
              <c:strCache>
                <c:ptCount val="12"/>
                <c:pt idx="0">
                  <c:v>Sausis</c:v>
                </c:pt>
                <c:pt idx="1">
                  <c:v>Vasaris</c:v>
                </c:pt>
                <c:pt idx="2">
                  <c:v>Kovas</c:v>
                </c:pt>
                <c:pt idx="3">
                  <c:v>Balandis</c:v>
                </c:pt>
                <c:pt idx="4">
                  <c:v>Gegužė</c:v>
                </c:pt>
                <c:pt idx="5">
                  <c:v>Birželis</c:v>
                </c:pt>
                <c:pt idx="6">
                  <c:v>Liepa</c:v>
                </c:pt>
                <c:pt idx="7">
                  <c:v>Rugpjūtis</c:v>
                </c:pt>
                <c:pt idx="8">
                  <c:v>Rugsėjis</c:v>
                </c:pt>
                <c:pt idx="9">
                  <c:v>Spalis</c:v>
                </c:pt>
                <c:pt idx="10">
                  <c:v>Lapkritis</c:v>
                </c:pt>
                <c:pt idx="11">
                  <c:v>Gruodis</c:v>
                </c:pt>
              </c:strCache>
            </c:strRef>
          </c:cat>
          <c:val>
            <c:numRef>
              <c:f>Lapas3!$C$3:$C$14</c:f>
              <c:numCache>
                <c:formatCode>General</c:formatCode>
                <c:ptCount val="12"/>
                <c:pt idx="0">
                  <c:v>6315</c:v>
                </c:pt>
                <c:pt idx="1">
                  <c:v>6676</c:v>
                </c:pt>
                <c:pt idx="2">
                  <c:v>7327</c:v>
                </c:pt>
                <c:pt idx="3">
                  <c:v>7399</c:v>
                </c:pt>
                <c:pt idx="4">
                  <c:v>9058</c:v>
                </c:pt>
                <c:pt idx="5">
                  <c:v>10756</c:v>
                </c:pt>
                <c:pt idx="6">
                  <c:v>13310</c:v>
                </c:pt>
                <c:pt idx="7">
                  <c:v>12000</c:v>
                </c:pt>
                <c:pt idx="8">
                  <c:v>4865</c:v>
                </c:pt>
                <c:pt idx="9">
                  <c:v>6241</c:v>
                </c:pt>
                <c:pt idx="10">
                  <c:v>6179</c:v>
                </c:pt>
                <c:pt idx="11">
                  <c:v>7371</c:v>
                </c:pt>
              </c:numCache>
            </c:numRef>
          </c:val>
          <c:smooth val="0"/>
        </c:ser>
        <c:ser>
          <c:idx val="2"/>
          <c:order val="2"/>
          <c:tx>
            <c:strRef>
              <c:f>Lapas3!$D$2</c:f>
              <c:strCache>
                <c:ptCount val="1"/>
                <c:pt idx="0">
                  <c:v>2020 m.</c:v>
                </c:pt>
              </c:strCache>
            </c:strRef>
          </c:tx>
          <c:dLbls>
            <c:dLbl>
              <c:idx val="0"/>
              <c:layout>
                <c:manualLayout>
                  <c:x val="-2.0599250936329586E-2"/>
                  <c:y val="-3.5190605001314677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1.6853932584269662E-2"/>
                  <c:y val="-3.5190605001314643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4.1198501872659173E-2"/>
                  <c:y val="4.6920806668419524E-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5.6179775280898875E-3"/>
                  <c:y val="7.8201344447366601E-3"/>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3.7453183520599251E-3"/>
                  <c:y val="1.9550336111841468E-2"/>
                </c:manualLayout>
              </c:layout>
              <c:showLegendKey val="0"/>
              <c:showVal val="1"/>
              <c:showCatName val="0"/>
              <c:showSerName val="0"/>
              <c:showPercent val="0"/>
              <c:showBubbleSize val="0"/>
              <c:extLst>
                <c:ext xmlns:c15="http://schemas.microsoft.com/office/drawing/2012/chart" uri="{CE6537A1-D6FC-4f65-9D91-7224C49458BB}"/>
              </c:extLst>
            </c:dLbl>
            <c:dLbl>
              <c:idx val="5"/>
              <c:layout>
                <c:manualLayout>
                  <c:x val="-1.3108614232209669E-2"/>
                  <c:y val="3.5190605001314677E-2"/>
                </c:manualLayout>
              </c:layout>
              <c:showLegendKey val="0"/>
              <c:showVal val="1"/>
              <c:showCatName val="0"/>
              <c:showSerName val="0"/>
              <c:showPercent val="0"/>
              <c:showBubbleSize val="0"/>
              <c:extLst>
                <c:ext xmlns:c15="http://schemas.microsoft.com/office/drawing/2012/chart" uri="{CE6537A1-D6FC-4f65-9D91-7224C49458BB}"/>
              </c:extLst>
            </c:dLbl>
            <c:dLbl>
              <c:idx val="6"/>
              <c:layout>
                <c:manualLayout>
                  <c:x val="-4.6816479400749067E-2"/>
                  <c:y val="-3.5190605001314643E-2"/>
                </c:manualLayout>
              </c:layout>
              <c:showLegendKey val="0"/>
              <c:showVal val="1"/>
              <c:showCatName val="0"/>
              <c:showSerName val="0"/>
              <c:showPercent val="0"/>
              <c:showBubbleSize val="0"/>
              <c:extLst>
                <c:ext xmlns:c15="http://schemas.microsoft.com/office/drawing/2012/chart" uri="{CE6537A1-D6FC-4f65-9D91-7224C49458BB}"/>
              </c:extLst>
            </c:dLbl>
            <c:dLbl>
              <c:idx val="7"/>
              <c:layout>
                <c:manualLayout>
                  <c:x val="-2.4344569288389514E-2"/>
                  <c:y val="-3.5190605001314643E-2"/>
                </c:manualLayout>
              </c:layout>
              <c:showLegendKey val="0"/>
              <c:showVal val="1"/>
              <c:showCatName val="0"/>
              <c:showSerName val="0"/>
              <c:showPercent val="0"/>
              <c:showBubbleSize val="0"/>
              <c:extLst>
                <c:ext xmlns:c15="http://schemas.microsoft.com/office/drawing/2012/chart" uri="{CE6537A1-D6FC-4f65-9D91-7224C49458BB}"/>
              </c:extLst>
            </c:dLbl>
            <c:dLbl>
              <c:idx val="8"/>
              <c:layout>
                <c:manualLayout>
                  <c:x val="-5.2434456928838954E-2"/>
                  <c:y val="3.9100672223682936E-3"/>
                </c:manualLayout>
              </c:layout>
              <c:showLegendKey val="0"/>
              <c:showVal val="1"/>
              <c:showCatName val="0"/>
              <c:showSerName val="0"/>
              <c:showPercent val="0"/>
              <c:showBubbleSize val="0"/>
              <c:extLst>
                <c:ext xmlns:c15="http://schemas.microsoft.com/office/drawing/2012/chart" uri="{CE6537A1-D6FC-4f65-9D91-7224C49458BB}"/>
              </c:extLst>
            </c:dLbl>
            <c:dLbl>
              <c:idx val="9"/>
              <c:layout>
                <c:manualLayout>
                  <c:x val="-4.835760610811337E-2"/>
                  <c:y val="3.8416246381839943E-2"/>
                </c:manualLayout>
              </c:layout>
              <c:showLegendKey val="0"/>
              <c:showVal val="1"/>
              <c:showCatName val="0"/>
              <c:showSerName val="0"/>
              <c:showPercent val="0"/>
              <c:showBubbleSize val="0"/>
              <c:extLst>
                <c:ext xmlns:c15="http://schemas.microsoft.com/office/drawing/2012/chart" uri="{CE6537A1-D6FC-4f65-9D91-7224C49458BB}"/>
              </c:extLst>
            </c:dLbl>
            <c:dLbl>
              <c:idx val="10"/>
              <c:layout>
                <c:manualLayout>
                  <c:x val="-2.9962546816479401E-2"/>
                  <c:y val="3.5190605001314643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b="1"/>
                </a:pPr>
                <a:endParaRPr lang="lt-LT"/>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Lapas3!$A$3:$A$14</c:f>
              <c:strCache>
                <c:ptCount val="12"/>
                <c:pt idx="0">
                  <c:v>Sausis</c:v>
                </c:pt>
                <c:pt idx="1">
                  <c:v>Vasaris</c:v>
                </c:pt>
                <c:pt idx="2">
                  <c:v>Kovas</c:v>
                </c:pt>
                <c:pt idx="3">
                  <c:v>Balandis</c:v>
                </c:pt>
                <c:pt idx="4">
                  <c:v>Gegužė</c:v>
                </c:pt>
                <c:pt idx="5">
                  <c:v>Birželis</c:v>
                </c:pt>
                <c:pt idx="6">
                  <c:v>Liepa</c:v>
                </c:pt>
                <c:pt idx="7">
                  <c:v>Rugpjūtis</c:v>
                </c:pt>
                <c:pt idx="8">
                  <c:v>Rugsėjis</c:v>
                </c:pt>
                <c:pt idx="9">
                  <c:v>Spalis</c:v>
                </c:pt>
                <c:pt idx="10">
                  <c:v>Lapkritis</c:v>
                </c:pt>
                <c:pt idx="11">
                  <c:v>Gruodis</c:v>
                </c:pt>
              </c:strCache>
            </c:strRef>
          </c:cat>
          <c:val>
            <c:numRef>
              <c:f>Lapas3!$D$3:$D$14</c:f>
              <c:numCache>
                <c:formatCode>General</c:formatCode>
                <c:ptCount val="12"/>
                <c:pt idx="0">
                  <c:v>9266</c:v>
                </c:pt>
                <c:pt idx="1">
                  <c:v>8064</c:v>
                </c:pt>
                <c:pt idx="2">
                  <c:v>4167</c:v>
                </c:pt>
                <c:pt idx="3">
                  <c:v>2555</c:v>
                </c:pt>
                <c:pt idx="4">
                  <c:v>4061</c:v>
                </c:pt>
                <c:pt idx="5">
                  <c:v>9480</c:v>
                </c:pt>
                <c:pt idx="6">
                  <c:v>13943</c:v>
                </c:pt>
                <c:pt idx="7">
                  <c:v>12485</c:v>
                </c:pt>
                <c:pt idx="8">
                  <c:v>6961</c:v>
                </c:pt>
                <c:pt idx="9">
                  <c:v>4203</c:v>
                </c:pt>
                <c:pt idx="10">
                  <c:v>2576</c:v>
                </c:pt>
                <c:pt idx="11">
                  <c:v>2733</c:v>
                </c:pt>
              </c:numCache>
            </c:numRef>
          </c:val>
          <c:smooth val="0"/>
        </c:ser>
        <c:dLbls>
          <c:showLegendKey val="0"/>
          <c:showVal val="1"/>
          <c:showCatName val="0"/>
          <c:showSerName val="0"/>
          <c:showPercent val="0"/>
          <c:showBubbleSize val="0"/>
        </c:dLbls>
        <c:marker val="1"/>
        <c:smooth val="0"/>
        <c:axId val="161350784"/>
        <c:axId val="161352320"/>
      </c:lineChart>
      <c:catAx>
        <c:axId val="161350784"/>
        <c:scaling>
          <c:orientation val="minMax"/>
        </c:scaling>
        <c:delete val="0"/>
        <c:axPos val="b"/>
        <c:numFmt formatCode="General" sourceLinked="0"/>
        <c:majorTickMark val="none"/>
        <c:minorTickMark val="none"/>
        <c:tickLblPos val="nextTo"/>
        <c:txPr>
          <a:bodyPr rot="-5400000" vert="horz"/>
          <a:lstStyle/>
          <a:p>
            <a:pPr>
              <a:defRPr sz="1200"/>
            </a:pPr>
            <a:endParaRPr lang="lt-LT"/>
          </a:p>
        </c:txPr>
        <c:crossAx val="161352320"/>
        <c:crosses val="autoZero"/>
        <c:auto val="1"/>
        <c:lblAlgn val="ctr"/>
        <c:lblOffset val="100"/>
        <c:noMultiLvlLbl val="0"/>
      </c:catAx>
      <c:valAx>
        <c:axId val="161352320"/>
        <c:scaling>
          <c:orientation val="minMax"/>
        </c:scaling>
        <c:delete val="0"/>
        <c:axPos val="l"/>
        <c:majorGridlines/>
        <c:numFmt formatCode="General" sourceLinked="1"/>
        <c:majorTickMark val="none"/>
        <c:minorTickMark val="none"/>
        <c:tickLblPos val="nextTo"/>
        <c:txPr>
          <a:bodyPr/>
          <a:lstStyle/>
          <a:p>
            <a:pPr>
              <a:defRPr sz="1200"/>
            </a:pPr>
            <a:endParaRPr lang="lt-LT"/>
          </a:p>
        </c:txPr>
        <c:crossAx val="161350784"/>
        <c:crosses val="autoZero"/>
        <c:crossBetween val="between"/>
      </c:valAx>
    </c:plotArea>
    <c:legend>
      <c:legendPos val="r"/>
      <c:legendEntry>
        <c:idx val="2"/>
        <c:txPr>
          <a:bodyPr/>
          <a:lstStyle/>
          <a:p>
            <a:pPr>
              <a:defRPr sz="1200" b="1"/>
            </a:pPr>
            <a:endParaRPr lang="lt-LT"/>
          </a:p>
        </c:txPr>
      </c:legendEntry>
      <c:layout>
        <c:manualLayout>
          <c:xMode val="edge"/>
          <c:yMode val="edge"/>
          <c:x val="0.24660104986876638"/>
          <c:y val="0.85532966792753506"/>
          <c:w val="0.53617048571175796"/>
          <c:h val="0.14173501074190908"/>
        </c:manualLayout>
      </c:layout>
      <c:overlay val="0"/>
      <c:txPr>
        <a:bodyPr/>
        <a:lstStyle/>
        <a:p>
          <a:pPr>
            <a:defRPr sz="1200"/>
          </a:pPr>
          <a:endParaRPr lang="lt-LT"/>
        </a:p>
      </c:txPr>
    </c:legend>
    <c:plotVisOnly val="1"/>
    <c:dispBlanksAs val="gap"/>
    <c:showDLblsOverMax val="0"/>
  </c:chart>
  <c:txPr>
    <a:bodyPr/>
    <a:lstStyle/>
    <a:p>
      <a:pPr>
        <a:defRPr sz="1100">
          <a:latin typeface="Times New Roman" panose="02020603050405020304" pitchFamily="18" charset="0"/>
          <a:cs typeface="Times New Roman" panose="02020603050405020304" pitchFamily="18" charset="0"/>
        </a:defRPr>
      </a:pPr>
      <a:endParaRPr lang="lt-LT"/>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floor>
    <c:sideWall>
      <c:thickness val="0"/>
    </c:sideWall>
    <c:backWall>
      <c:thickness val="0"/>
    </c:backWall>
    <c:plotArea>
      <c:layout>
        <c:manualLayout>
          <c:layoutTarget val="inner"/>
          <c:xMode val="edge"/>
          <c:yMode val="edge"/>
          <c:x val="0.10938411222087172"/>
          <c:y val="0.13415721339917255"/>
          <c:w val="0.83476874115567767"/>
          <c:h val="0.79374010681097296"/>
        </c:manualLayout>
      </c:layout>
      <c:pie3DChart>
        <c:varyColors val="1"/>
        <c:ser>
          <c:idx val="0"/>
          <c:order val="0"/>
          <c:explosion val="25"/>
          <c:dPt>
            <c:idx val="0"/>
            <c:bubble3D val="0"/>
            <c:explosion val="35"/>
            <c:spPr>
              <a:solidFill>
                <a:schemeClr val="accent1">
                  <a:lumMod val="60000"/>
                  <a:lumOff val="40000"/>
                </a:schemeClr>
              </a:solidFill>
            </c:spPr>
          </c:dPt>
          <c:dPt>
            <c:idx val="1"/>
            <c:bubble3D val="0"/>
            <c:spPr>
              <a:solidFill>
                <a:srgbClr val="FFFF00"/>
              </a:solidFill>
            </c:spPr>
          </c:dPt>
          <c:dLbls>
            <c:dLbl>
              <c:idx val="0"/>
              <c:layout>
                <c:manualLayout>
                  <c:x val="-0.11004996858614149"/>
                  <c:y val="-0.29034749034749036"/>
                </c:manualLayout>
              </c:layout>
              <c:showLegendKey val="0"/>
              <c:showVal val="0"/>
              <c:showCatName val="1"/>
              <c:showSerName val="0"/>
              <c:showPercent val="1"/>
              <c:showBubbleSize val="0"/>
              <c:extLst>
                <c:ext xmlns:c15="http://schemas.microsoft.com/office/drawing/2012/chart" uri="{CE6537A1-D6FC-4f65-9D91-7224C49458BB}"/>
              </c:extLst>
            </c:dLbl>
            <c:dLbl>
              <c:idx val="1"/>
              <c:layout>
                <c:manualLayout>
                  <c:x val="-9.639933501184042E-2"/>
                  <c:y val="4.0677966101694912E-2"/>
                </c:manualLayout>
              </c:layout>
              <c:showLegendKey val="0"/>
              <c:showVal val="0"/>
              <c:showCatName val="1"/>
              <c:showSerName val="0"/>
              <c:showPercent val="1"/>
              <c:showBubbleSize val="0"/>
              <c:extLst>
                <c:ext xmlns:c15="http://schemas.microsoft.com/office/drawing/2012/chart" uri="{CE6537A1-D6FC-4f65-9D91-7224C49458BB}"/>
              </c:extLst>
            </c:dLbl>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extLst>
          </c:dLbls>
          <c:cat>
            <c:strRef>
              <c:f>Lapas3!$A$52:$A$53</c:f>
              <c:strCache>
                <c:ptCount val="2"/>
                <c:pt idx="0">
                  <c:v>Lietuva</c:v>
                </c:pt>
                <c:pt idx="1">
                  <c:v>Užsienio šalys</c:v>
                </c:pt>
              </c:strCache>
            </c:strRef>
          </c:cat>
          <c:val>
            <c:numRef>
              <c:f>Lapas3!$B$52:$B$53</c:f>
              <c:numCache>
                <c:formatCode>General</c:formatCode>
                <c:ptCount val="2"/>
                <c:pt idx="0">
                  <c:v>75285</c:v>
                </c:pt>
                <c:pt idx="1">
                  <c:v>5209</c:v>
                </c:pt>
              </c:numCache>
            </c:numRef>
          </c:val>
        </c:ser>
        <c:dLbls>
          <c:showLegendKey val="0"/>
          <c:showVal val="0"/>
          <c:showCatName val="1"/>
          <c:showSerName val="0"/>
          <c:showPercent val="1"/>
          <c:showBubbleSize val="0"/>
          <c:showLeaderLines val="1"/>
        </c:dLbls>
      </c:pie3DChart>
    </c:plotArea>
    <c:plotVisOnly val="1"/>
    <c:dispBlanksAs val="gap"/>
    <c:showDLblsOverMax val="0"/>
  </c:chart>
  <c:txPr>
    <a:bodyPr/>
    <a:lstStyle/>
    <a:p>
      <a:pPr>
        <a:defRPr sz="1200">
          <a:latin typeface="Times New Roman" panose="02020603050405020304" pitchFamily="18" charset="0"/>
          <a:cs typeface="Times New Roman" panose="02020603050405020304" pitchFamily="18" charset="0"/>
        </a:defRPr>
      </a:pPr>
      <a:endParaRPr lang="lt-LT"/>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floor>
    <c:sideWall>
      <c:thickness val="0"/>
    </c:sideWall>
    <c:backWall>
      <c:thickness val="0"/>
    </c:backWall>
    <c:plotArea>
      <c:layout>
        <c:manualLayout>
          <c:layoutTarget val="inner"/>
          <c:xMode val="edge"/>
          <c:yMode val="edge"/>
          <c:x val="0.13118226888305629"/>
          <c:y val="0.2231758530183727"/>
          <c:w val="0.76790659072754253"/>
          <c:h val="0.73704512742358819"/>
        </c:manualLayout>
      </c:layout>
      <c:pie3DChart>
        <c:varyColors val="1"/>
        <c:ser>
          <c:idx val="0"/>
          <c:order val="0"/>
          <c:explosion val="21"/>
          <c:dPt>
            <c:idx val="0"/>
            <c:bubble3D val="0"/>
            <c:spPr>
              <a:solidFill>
                <a:schemeClr val="accent1">
                  <a:lumMod val="60000"/>
                  <a:lumOff val="40000"/>
                </a:schemeClr>
              </a:solidFill>
            </c:spPr>
          </c:dPt>
          <c:dPt>
            <c:idx val="1"/>
            <c:bubble3D val="0"/>
            <c:spPr>
              <a:solidFill>
                <a:srgbClr val="FFFF00"/>
              </a:solidFill>
            </c:spPr>
          </c:dPt>
          <c:dPt>
            <c:idx val="2"/>
            <c:bubble3D val="0"/>
            <c:spPr>
              <a:solidFill>
                <a:schemeClr val="accent6">
                  <a:lumMod val="60000"/>
                  <a:lumOff val="40000"/>
                </a:schemeClr>
              </a:solidFill>
            </c:spPr>
          </c:dPt>
          <c:dLbls>
            <c:dLbl>
              <c:idx val="2"/>
              <c:layout>
                <c:manualLayout>
                  <c:x val="-0.1319615469753028"/>
                  <c:y val="5.2418794471500309E-2"/>
                </c:manualLayout>
              </c:layout>
              <c:showLegendKey val="0"/>
              <c:showVal val="0"/>
              <c:showCatName val="1"/>
              <c:showSerName val="0"/>
              <c:showPercent val="1"/>
              <c:showBubbleSize val="0"/>
              <c:extLst>
                <c:ext xmlns:c15="http://schemas.microsoft.com/office/drawing/2012/chart" uri="{CE6537A1-D6FC-4f65-9D91-7224C49458BB}"/>
              </c:extLst>
            </c:dLbl>
            <c:dLbl>
              <c:idx val="3"/>
              <c:layout>
                <c:manualLayout>
                  <c:x val="-0.10025873248057432"/>
                  <c:y val="-2.8067244282636714E-2"/>
                </c:manualLayout>
              </c:layout>
              <c:showLegendKey val="0"/>
              <c:showVal val="0"/>
              <c:showCatName val="1"/>
              <c:showSerName val="0"/>
              <c:showPercent val="1"/>
              <c:showBubbleSize val="0"/>
              <c:extLst>
                <c:ext xmlns:c15="http://schemas.microsoft.com/office/drawing/2012/chart" uri="{CE6537A1-D6FC-4f65-9D91-7224C49458BB}"/>
              </c:extLst>
            </c:dLbl>
            <c:dLbl>
              <c:idx val="5"/>
              <c:layout>
                <c:manualLayout>
                  <c:x val="0.14298406638564118"/>
                  <c:y val="-4.4701688408351941E-3"/>
                </c:manualLayout>
              </c:layout>
              <c:showLegendKey val="0"/>
              <c:showVal val="0"/>
              <c:showCatName val="1"/>
              <c:showSerName val="0"/>
              <c:showPercent val="1"/>
              <c:showBubbleSize val="0"/>
              <c:extLst>
                <c:ext xmlns:c15="http://schemas.microsoft.com/office/drawing/2012/chart" uri="{CE6537A1-D6FC-4f65-9D91-7224C49458BB}"/>
              </c:extLst>
            </c:dLbl>
            <c:dLbl>
              <c:idx val="6"/>
              <c:layout>
                <c:manualLayout>
                  <c:x val="0.26362819799040271"/>
                  <c:y val="7.3695303012496577E-2"/>
                </c:manualLayout>
              </c:layout>
              <c:showLegendKey val="0"/>
              <c:showVal val="0"/>
              <c:showCatName val="1"/>
              <c:showSerName val="0"/>
              <c:showPercent val="1"/>
              <c:showBubbleSize val="0"/>
              <c:extLst>
                <c:ext xmlns:c15="http://schemas.microsoft.com/office/drawing/2012/chart" uri="{CE6537A1-D6FC-4f65-9D91-7224C49458BB}"/>
              </c:extLst>
            </c:dLbl>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extLst>
          </c:dLbls>
          <c:cat>
            <c:strRef>
              <c:f>Lapas3!$A$55:$A$61</c:f>
              <c:strCache>
                <c:ptCount val="7"/>
                <c:pt idx="0">
                  <c:v>Europa</c:v>
                </c:pt>
                <c:pt idx="1">
                  <c:v>Šiaurės Amerika</c:v>
                </c:pt>
                <c:pt idx="2">
                  <c:v>Azija</c:v>
                </c:pt>
                <c:pt idx="3">
                  <c:v>Nenusatyta</c:v>
                </c:pt>
                <c:pt idx="4">
                  <c:v>Afrika</c:v>
                </c:pt>
                <c:pt idx="5">
                  <c:v>Pietų Amerika</c:v>
                </c:pt>
                <c:pt idx="6">
                  <c:v>Australija</c:v>
                </c:pt>
              </c:strCache>
            </c:strRef>
          </c:cat>
          <c:val>
            <c:numRef>
              <c:f>Lapas3!$B$55:$B$61</c:f>
              <c:numCache>
                <c:formatCode>General</c:formatCode>
                <c:ptCount val="7"/>
                <c:pt idx="0">
                  <c:v>3064</c:v>
                </c:pt>
                <c:pt idx="1">
                  <c:v>1615</c:v>
                </c:pt>
                <c:pt idx="2">
                  <c:v>413</c:v>
                </c:pt>
                <c:pt idx="3">
                  <c:v>59</c:v>
                </c:pt>
                <c:pt idx="4">
                  <c:v>33</c:v>
                </c:pt>
                <c:pt idx="5">
                  <c:v>15</c:v>
                </c:pt>
                <c:pt idx="6">
                  <c:v>10</c:v>
                </c:pt>
              </c:numCache>
            </c:numRef>
          </c:val>
        </c:ser>
        <c:dLbls>
          <c:showLegendKey val="0"/>
          <c:showVal val="0"/>
          <c:showCatName val="1"/>
          <c:showSerName val="0"/>
          <c:showPercent val="1"/>
          <c:showBubbleSize val="0"/>
          <c:showLeaderLines val="1"/>
        </c:dLbls>
      </c:pie3DChart>
    </c:plotArea>
    <c:plotVisOnly val="1"/>
    <c:dispBlanksAs val="gap"/>
    <c:showDLblsOverMax val="0"/>
  </c:chart>
  <c:txPr>
    <a:bodyPr/>
    <a:lstStyle/>
    <a:p>
      <a:pPr>
        <a:defRPr sz="1200">
          <a:latin typeface="Times New Roman" panose="02020603050405020304" pitchFamily="18" charset="0"/>
          <a:cs typeface="Times New Roman" panose="02020603050405020304" pitchFamily="18" charset="0"/>
        </a:defRPr>
      </a:pPr>
      <a:endParaRPr lang="lt-LT"/>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1"/>
    <c:plotArea>
      <c:layout/>
      <c:barChart>
        <c:barDir val="col"/>
        <c:grouping val="clustered"/>
        <c:varyColors val="0"/>
        <c:ser>
          <c:idx val="0"/>
          <c:order val="0"/>
          <c:spPr>
            <a:solidFill>
              <a:schemeClr val="accent1">
                <a:lumMod val="60000"/>
                <a:lumOff val="40000"/>
              </a:schemeClr>
            </a:solidFill>
          </c:spPr>
          <c:invertIfNegative val="0"/>
          <c:dLbls>
            <c:dLbl>
              <c:idx val="0"/>
              <c:layout>
                <c:manualLayout>
                  <c:x val="0"/>
                  <c:y val="6.5934065934065934E-3"/>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1"/>
              <c:layout>
                <c:manualLayout>
                  <c:x val="0"/>
                  <c:y val="2.9304029304029304E-3"/>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2"/>
              <c:layout>
                <c:manualLayout>
                  <c:x val="0"/>
                  <c:y val="8.6600240363674443E-3"/>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3"/>
              <c:layout>
                <c:manualLayout>
                  <c:x val="1.896633475580844E-3"/>
                  <c:y val="6.5934065934065934E-3"/>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4"/>
              <c:layout>
                <c:manualLayout>
                  <c:x val="0"/>
                  <c:y val="1.2588618730351013E-2"/>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5"/>
              <c:layout>
                <c:manualLayout>
                  <c:x val="0"/>
                  <c:y val="1.3410054512416718E-2"/>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6"/>
              <c:layout>
                <c:manualLayout>
                  <c:x val="0"/>
                  <c:y val="1.0959014738542298E-2"/>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7"/>
              <c:layout>
                <c:manualLayout>
                  <c:x val="0"/>
                  <c:y val="9.1580860084797093E-3"/>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8"/>
              <c:layout>
                <c:manualLayout>
                  <c:x val="0"/>
                  <c:y val="1.4207550979204522E-2"/>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9"/>
              <c:layout>
                <c:manualLayout>
                  <c:x val="0"/>
                  <c:y val="1.340284387528482E-2"/>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12"/>
              <c:layout>
                <c:manualLayout>
                  <c:x val="0"/>
                  <c:y val="1.3265553344293501E-2"/>
                </c:manualLayout>
              </c:layout>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Lapas1!$A$3:$A$15</c:f>
              <c:strCache>
                <c:ptCount val="13"/>
                <c:pt idx="0">
                  <c:v>Triušiukų slėnis</c:v>
                </c:pt>
                <c:pt idx="1">
                  <c:v>Utenos kraštotyros muziejus</c:v>
                </c:pt>
                <c:pt idx="2">
                  <c:v>V.Valiušio keramikos muziejus</c:v>
                </c:pt>
                <c:pt idx="3">
                  <c:v>G. Mazūro skulptūrų parkas ir keramikos dirbtuvės</c:v>
                </c:pt>
                <c:pt idx="4">
                  <c:v>A. ir M. Miškinių etnografinė sodyba</c:v>
                </c:pt>
                <c:pt idx="5">
                  <c:v>Tauragnų krašto muziejus</c:v>
                </c:pt>
                <c:pt idx="6">
                  <c:v>Raganų muziejus</c:v>
                </c:pt>
                <c:pt idx="7">
                  <c:v>Laisvės kovų muziejus</c:v>
                </c:pt>
                <c:pt idx="8">
                  <c:v>Utenos meno centras</c:v>
                </c:pt>
                <c:pt idx="9">
                  <c:v>Vaizduotės parkas „Pasaka“ ir „Drakono džiunglės“</c:v>
                </c:pt>
                <c:pt idx="10">
                  <c:v>Senasis Utenos paštas</c:v>
                </c:pt>
                <c:pt idx="11">
                  <c:v>Tradicinių amatų centras „Svirnas“</c:v>
                </c:pt>
                <c:pt idx="12">
                  <c:v>Prieškario ūkikinko sodyba</c:v>
                </c:pt>
              </c:strCache>
            </c:strRef>
          </c:cat>
          <c:val>
            <c:numRef>
              <c:f>Lapas1!$B$3:$B$15</c:f>
              <c:numCache>
                <c:formatCode>General</c:formatCode>
                <c:ptCount val="13"/>
                <c:pt idx="0">
                  <c:v>5871</c:v>
                </c:pt>
                <c:pt idx="1">
                  <c:v>3840</c:v>
                </c:pt>
                <c:pt idx="2">
                  <c:v>3316</c:v>
                </c:pt>
                <c:pt idx="3">
                  <c:v>2183</c:v>
                </c:pt>
                <c:pt idx="4">
                  <c:v>813</c:v>
                </c:pt>
                <c:pt idx="5">
                  <c:v>713</c:v>
                </c:pt>
                <c:pt idx="6">
                  <c:v>619</c:v>
                </c:pt>
                <c:pt idx="7">
                  <c:v>535</c:v>
                </c:pt>
                <c:pt idx="8">
                  <c:v>500</c:v>
                </c:pt>
                <c:pt idx="9">
                  <c:v>375</c:v>
                </c:pt>
                <c:pt idx="10">
                  <c:v>246</c:v>
                </c:pt>
                <c:pt idx="11">
                  <c:v>163</c:v>
                </c:pt>
                <c:pt idx="12">
                  <c:v>35</c:v>
                </c:pt>
              </c:numCache>
            </c:numRef>
          </c:val>
        </c:ser>
        <c:dLbls>
          <c:showLegendKey val="0"/>
          <c:showVal val="0"/>
          <c:showCatName val="0"/>
          <c:showSerName val="0"/>
          <c:showPercent val="0"/>
          <c:showBubbleSize val="0"/>
        </c:dLbls>
        <c:gapWidth val="75"/>
        <c:overlap val="40"/>
        <c:axId val="223319552"/>
        <c:axId val="223321088"/>
      </c:barChart>
      <c:catAx>
        <c:axId val="223319552"/>
        <c:scaling>
          <c:orientation val="minMax"/>
        </c:scaling>
        <c:delete val="0"/>
        <c:axPos val="b"/>
        <c:numFmt formatCode="General" sourceLinked="0"/>
        <c:majorTickMark val="none"/>
        <c:minorTickMark val="none"/>
        <c:tickLblPos val="nextTo"/>
        <c:txPr>
          <a:bodyPr rot="-5400000" vert="horz"/>
          <a:lstStyle/>
          <a:p>
            <a:pPr>
              <a:defRPr sz="1100"/>
            </a:pPr>
            <a:endParaRPr lang="lt-LT"/>
          </a:p>
        </c:txPr>
        <c:crossAx val="223321088"/>
        <c:crosses val="autoZero"/>
        <c:auto val="1"/>
        <c:lblAlgn val="ctr"/>
        <c:lblOffset val="100"/>
        <c:noMultiLvlLbl val="0"/>
      </c:catAx>
      <c:valAx>
        <c:axId val="223321088"/>
        <c:scaling>
          <c:orientation val="minMax"/>
        </c:scaling>
        <c:delete val="0"/>
        <c:axPos val="l"/>
        <c:majorGridlines/>
        <c:numFmt formatCode="General" sourceLinked="1"/>
        <c:majorTickMark val="none"/>
        <c:minorTickMark val="none"/>
        <c:tickLblPos val="nextTo"/>
        <c:crossAx val="223319552"/>
        <c:crosses val="autoZero"/>
        <c:crossBetween val="between"/>
      </c:valAx>
    </c:plotArea>
    <c:plotVisOnly val="1"/>
    <c:dispBlanksAs val="gap"/>
    <c:showDLblsOverMax val="0"/>
  </c:chart>
  <c:txPr>
    <a:bodyPr/>
    <a:lstStyle/>
    <a:p>
      <a:pPr>
        <a:defRPr sz="1200">
          <a:latin typeface="Times New Roman" panose="02020603050405020304" pitchFamily="18" charset="0"/>
          <a:cs typeface="Times New Roman" panose="02020603050405020304" pitchFamily="18" charset="0"/>
        </a:defRPr>
      </a:pPr>
      <a:endParaRPr lang="lt-LT"/>
    </a:p>
  </c:txPr>
  <c:externalData r:id="rId1">
    <c:autoUpdate val="0"/>
  </c:externalData>
</c:chartSpace>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3ECAE9-0C9D-4E80-9311-5B5539C06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1247</TotalTime>
  <Pages>8</Pages>
  <Words>8164</Words>
  <Characters>4655</Characters>
  <Application>Microsoft Office Word</Application>
  <DocSecurity>0</DocSecurity>
  <Lines>38</Lines>
  <Paragraphs>25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12794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6</cp:revision>
  <cp:lastPrinted>2020-03-05T14:14:00Z</cp:lastPrinted>
  <dcterms:created xsi:type="dcterms:W3CDTF">2021-02-09T15:04:00Z</dcterms:created>
  <dcterms:modified xsi:type="dcterms:W3CDTF">2021-02-10T13:25:00Z</dcterms:modified>
</cp:coreProperties>
</file>